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jpg" ContentType="image/jpg"/>
  <Default Extension="emf" ContentType="image/emf"/>
  <Default Extension="wmf" ContentType="image/wmf"/>
  <Default Extension="ico" ContentType="image/ico"/>
  <Default Extension="cur" ContentType="image/cur"/>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header0.xml" ContentType="application/vnd.openxmlformats-officedocument.wordprocessingml.header+xml"/>
  <Override PartName="/word/header1.xml" ContentType="application/vnd.openxmlformats-officedocument.wordprocessingml.header+xml"/>
  <Override PartName="/word/footer0.xml" ContentType="application/vnd.openxmlformats-officedocument.wordprocessingml.foot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08" w:type="dxa"/>
        <w:jc w:val="left"/>
        <w:tblCellMar>
          <w:top w:w="28" w:type="dxa"/>
          <w:left w:w="28" w:type="dxa"/>
          <w:bottom w:w="28" w:type="dxa"/>
          <w:right w:w="28" w:type="dxa"/>
        </w:tblCellMar>
        <w:tblLook w:val="0000"/>
      </w:tblPr>
      <w:tblGrid>
        <w:gridCol w:w="850"/>
        <w:gridCol w:w="4116"/>
        <w:gridCol w:w="1094"/>
        <w:gridCol w:w="527"/>
        <w:gridCol w:w="374"/>
        <w:gridCol w:w="686"/>
        <w:gridCol w:w="1020"/>
        <w:gridCol w:w="1140"/>
      </w:tblGrid>
      <w:tr>
        <w:trPr>
          <w:cantSplit/>
        </w:trPr>
        <w:tc>
          <w:tcPr>
            <w:tcW w:w="9808" w:type="dxa"/>
            <w:tcBorders>
              <w:top w:val="single" w:sz="7" w:space="0" w:color="000000"/>
              <w:bottom w:val="single" w:sz="7" w:space="0" w:color="000000"/>
              <w:left w:val="single" w:sz="7" w:space="0" w:color="000000"/>
              <w:right w:val="single" w:sz="7" w:space="0" w:color="000000"/>
            </w:tcBorders>
            <w:noWrap/>
            <w:vAlign w:val="top"/>
            <w:gridSpan w:val="8"/>
          </w:tcPr>
          <w:p>
            <w:pPr>
              <w:spacing w:after="120" w:line="240" w:lineRule="auto"/>
              <w:jc w:val="center"/>
              <w:rPr>
                <w:rFonts w:ascii="Arial" w:hAnsi="Arial" w:cs="Arial"/>
                <w:sz w:val="28"/>
              </w:rPr>
            </w:pPr>
            <w:r>
              <w:rPr>
                <w:rFonts w:ascii="Arial" w:hAnsi="Arial" w:cs="Arial"/>
                <w:sz w:val="28"/>
              </w:rPr>
              <w:t xml:space="preserve">Quadre de preus nº 2</w:t>
            </w:r>
          </w:p>
        </w:tc>
      </w:tr>
      <w:tr>
        <w:trPr>
          <w:cantSplit/>
        </w:trPr>
        <w:tc>
          <w:tcPr>
            <w:tcW w:w="9808" w:type="dxa"/>
            <w:tcBorders>
              <w:top w:val="single" w:sz="7" w:space="0" w:color="000000"/>
            </w:tcBorders>
            <w:vAlign w:val="top"/>
            <w:gridSpan w:val="8"/>
          </w:tcPr>
          <w:p>
            <w:pPr>
              <w:spacing w:after="0" w:line="240" w:lineRule="auto"/>
              <w:jc w:val="both"/>
              <w:rPr>
                <w:rFonts w:ascii="Arial" w:hAnsi="Arial" w:cs="Arial"/>
                <w:sz w:val="18"/>
              </w:rPr>
            </w:pPr>
            <w:r>
              <w:rPr>
                <w:rFonts w:ascii="Arial" w:hAnsi="Arial" w:cs="Arial"/>
                <w:sz w:val="18"/>
              </w:rPr>
              <w:t xml:space="preserve">Advertència: Els preus d'aquest quadre s'aplicaran única i exclusivament en els casos que sigui necessari abonar obres incompletes quan per rescissió o una altra causa no arribin a acabar-se les contractades, sense que es pugui pretendre la valoració de cada unitat d'obra fraccionada en altra forma que l'establida a l'esmentat quadre.</w:t>
            </w:r>
          </w:p>
        </w:tc>
      </w:tr>
    </w:tbl>
    <w:p>
      <w:pPr>
        <w:spacing w:after="0" w:line="2" w:lineRule="auto"/>
      </w:pPr>
    </w:p>
    <w:p>
      <w:pPr>
        <w:spacing w:after="0" w:line="2" w:lineRule="auto"/>
        <w:sectPr>
          <w:headerReference w:type="even" r:id="header0"/>
          <w:headerReference w:type="default" r:id="header0"/>
          <w:footerReference w:type="even" r:id="footer0"/>
          <w:footerReference w:type="default" r:id="footer0"/>
          <w:pgSz w:w="11906" w:h="16838" w:orient="portrait"/>
          <w:pgMar w:top="907" w:left="907" w:bottom="907" w:right="907" w:header="907" w:footer="907" w:gutter="283"/>
          <w:cols w:space="708"/>
          <w:docGrid w:linePitch="360"/>
        </w:sectPr>
      </w:pPr>
    </w:p>
    <w:tbl>
      <w:tblPr>
        <w:tblW w:w="9808" w:type="dxa"/>
        <w:jc w:val="left"/>
        <w:tblCellMar>
          <w:top w:w="28" w:type="dxa"/>
          <w:left w:w="28" w:type="dxa"/>
          <w:bottom w:w="28" w:type="dxa"/>
          <w:right w:w="28" w:type="dxa"/>
        </w:tblCellMar>
        <w:tblLook w:val="0000"/>
      </w:tblPr>
      <w:tblGrid>
        <w:gridCol w:w="850"/>
        <w:gridCol w:w="4116"/>
        <w:gridCol w:w="1094"/>
        <w:gridCol w:w="527"/>
        <w:gridCol w:w="374"/>
        <w:gridCol w:w="686"/>
        <w:gridCol w:w="1020"/>
        <w:gridCol w:w="1140"/>
      </w:tblGrid>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vAlign w:val="top"/>
            <w:gridSpan w:val="5"/>
          </w:tcPr>
          <w:p>
            <w:pPr>
              <w:spacing w:after="0" w:line="240" w:lineRule="auto"/>
              <w:rPr>
                <w:rFonts w:ascii="Arial" w:hAnsi="Arial" w:cs="Arial"/>
                <w:sz w:val="20"/>
                <w:b/>
              </w:rPr>
            </w:pPr>
            <w:r>
              <w:rPr>
                <w:rFonts w:ascii="Arial" w:hAnsi="Arial" w:cs="Arial"/>
                <w:sz w:val="20"/>
                <w:b/>
              </w:rPr>
              <w:t xml:space="preserve">1 FAÇANA PASSEIG JOAN DE BORBÓ (OEST)</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1.1</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Muntatge i desmuntatge de bastida tubular metàl·lica fixa formada per bastiments de 70 cm i alçària &lt;= 200 cm, amb bases regulables, tubs travessers, tubs de travament, plataformes de treball d'amplària com a mínim de 60 cm, escales d'accés, baranes laterals, sòcols i xarxa de protecció de poliamida, col·locada a tota la cara exterior i amarradors cada 20 m2 de façana, inclosos tots els elements de senyalització normalitzats, amortització i el transport amb un recorregut total màxim de 20 km</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Ajudant muntador</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0,243</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22,510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5,47</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 muntador</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0,122</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26,210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3,20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(Maquinària)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Camió per a transport7 t</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0,040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33,030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1,32</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(Resta d'obra)</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0,13</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0,30</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10,42</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1.2</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Buixardat de parament disgregat i deteriorat de superfície plana de formigó, amb mitjans mecànics que presenti desprendiments o microfisuracions, deixant la superficie neta, sana i exempta de greix i particules. Repicat maxim 5 cm. aribant a descubrir les armadures que presentin oxidació. (Previssió d'actuació en un 20% de la superficie Total) inclos carrga manual a contenidor.</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Manobre</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21,170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(Maquinària)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Màq.pneum.abuix.+comp.port.</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2,450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1,65</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56,67</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1.3</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Raspallat manual o amb maquina de restes d'oxids en parament vertical amb raspall metalic de les armadures que presentin oxidació, inclos carrega a contenidor.</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Manobre</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0,615</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21,170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13,02</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(Resta d'obra)</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0,33</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0,40</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13,75</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1.4</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Passivat d'armadura amb morter polimèric d'imprimació anticorrosiva i pont d'unió de ciment i resines epoxi amb Sika Armatec 110 Epocem o similar</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0,010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0,25</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Morter polimèric ciment+resines epoxi,p/imprimació anticorrosiva i pont d'unió</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0,800</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5,750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4,60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(Resta d'obra)</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0,01</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0,15</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5,01</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1.5</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Regeneració de superfícies escrostonades, amb segregacions, escantellades, erosions o zones amb desprendiments en paraments de formigó, amb morter tixotròpic de dos components de ciment, resines sintètiques, fum de sílice i reforçat amb fibres, aplicació SIKA Monocop 442 multiflow, Propam Retard 40 o similar.</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Manobre</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21,170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Morter polimèric ciment+resines epoxi,p/imprimació anticorrosiva i pont d'unió</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5,750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Morter polimèric ciment+resines sintètiques i fibres,tixotròpic i de retracció controlada,p/reparació</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0,860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2,46</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84,58</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1.6</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 Reparació de cantell de sostre o balcó de formigó armat, amb repicat del formigó, sanejament i raspallat de les armadures amb mitjans manuals, passivat de les armadures, imprimació anticorrosiva i pont d'unió amb morter polimèric de resines epoxi, restitució de la part afectada amb morter polimèric de reparació</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Manobre</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21,170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Morter polimèric ciment+resines epoxi,p/imprimació anticorrosiva i pont d'unió</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5,750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Morter polimèric ciment+resines sintètiques i fibres,tixotròpic i de retracció controlada,p/reparació</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0,860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1,18</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40,42</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1.7</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Neteja i fresat superficial en sec sobre parament vertical de formigó, de pols, restes orgàniques i biodipòsits-detritus, extracció de de salitre i contaminació del formigó amb mitjans no agressius i instruments desincrustants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Manobre</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0,212</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21,170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4,49</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0,212</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5,38</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(Resta d'obra)</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0,25</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0,30</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10,42</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1.8</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Pintat de parament vertical exterior de ciment, amb pintura al silicat amb acabat llis, i pigments, amb una capa d'imprimació fixadora i dues d'acabat. Artigum façanes llis, Sika color 671W o similar</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Ajudant pintor</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0,047</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22,510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1,06</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 pintor</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0,463</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11,74</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Pintura al silicat,per a exteriors</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0,398</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10,115</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4,03</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Imprimació fixadora acrílica</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0,143</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4,324</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0,62</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(Resta d'obra)</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0,19</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0,53</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18,17</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1.9</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Fregat d'òxid, neteja i repintat de reixa d'acer amb barrots a 12 cm de separació, amb pintura de partícules metàl·liques, dues capes d'imprimació antioxidant i dues capes d'acabat</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Ajudant pintor</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0,570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22,510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12,83</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 pintor</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0,520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13,19</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Pintura partícules metàl·liques</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0,408</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10,880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4,44</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Imprimació antioxidant</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0,204</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12,480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2,55</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(Resta d'obra)</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0,39</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1,00</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34,40</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1.10</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m3 Transport de residus a instal·lació autoritzada de gestió de residus, amb camió de 7 t i temps d'espera per a la càrrega a màquina, amb un recorregut de més de 10 i fins a 15 km</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(Maquinària)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Camió per a transport7 t</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0,286</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33,030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9,45</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0,28</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9,73</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vAlign w:val="top"/>
            <w:gridSpan w:val="5"/>
          </w:tcPr>
          <w:p>
            <w:pPr>
              <w:spacing w:after="0" w:line="240" w:lineRule="auto"/>
              <w:rPr>
                <w:rFonts w:ascii="Arial" w:hAnsi="Arial" w:cs="Arial"/>
                <w:sz w:val="20"/>
                <w:b/>
              </w:rPr>
            </w:pPr>
            <w:r>
              <w:rPr>
                <w:rFonts w:ascii="Arial" w:hAnsi="Arial" w:cs="Arial"/>
                <w:sz w:val="20"/>
                <w:b/>
              </w:rPr>
              <w:t xml:space="preserve">2 FAÇANA CARRER LATERAL (SUD)</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2.1</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Muntatge i desmuntatge de bastida tubular metàl·lica fixa formada per bastiments de 70 cm i alçària &lt;= 200 cm, amb bases regulables, tubs travessers, tubs de travament, plataformes de treball d'amplària com a mínim de 60 cm, escales d'accés, baranes laterals, sòcols i xarxa de protecció de poliamida, col·locada a tota la cara exterior i amarradors cada 20 m2 de façana, inclosos tots els elements de senyalització normalitzats, amortització i el transport amb un recorregut total màxim de 20 km</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Ajudant muntador</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0,243</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22,510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5,47</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 muntador</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0,122</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26,210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3,20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(Maquinària)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Camió per a transport7 t</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0,040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33,030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1,32</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(Resta d'obra)</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0,13</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0,30</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10,42</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2.2</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Buixardat de parament disgregat i deteriorat de superfície plana de formigó, amb mitjans mecànics que presenti desprendiments o microfisuracions, deixant la superficie neta, sana i exempta de greix i particules. Repicat maxim 5 cm. aribant a descubrir les armadures que presentin oxidació. (Previssió d'actuació en un 20% de la superficie Total) inclos carrga manual a contenidor.</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Manobre</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21,170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(Maquinària)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Màq.pneum.abuix.+comp.port.</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2,450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1,65</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56,67</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2.3</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Raspallat manual o amb maquina de restes d'oxids en parament vertical amb raspall metalic de les armadures que presentin oxidació, inclos carrega a contenidor.</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Manobre</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0,615</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21,170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13,02</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(Resta d'obra)</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0,33</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0,40</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13,75</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2.4</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Passivat d'armadura amb morter polimèric d'imprimació anticorrosiva i pont d'unió de ciment i resines epoxi amb Sika Armatec 110 Epocem o similar</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0,010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0,25</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Morter polimèric ciment+resines epoxi,p/imprimació anticorrosiva i pont d'unió</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0,800</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5,750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4,60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(Resta d'obra)</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0,01</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0,15</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5,01</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2.5</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Regeneració de superfícies escrostonades, amb segregacions, escantellades, erosions o zones amb desprendiments en paraments de formigó, amb morter tixotròpic de dos components de ciment, resines sintètiques, fum de sílice i reforçat amb fibres, aplicació SIKA Monocop 442 multiflow, Propam Retard 40 o similar.</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Manobre</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21,170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Morter polimèric ciment+resines epoxi,p/imprimació anticorrosiva i pont d'unió</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5,750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Morter polimèric ciment+resines sintètiques i fibres,tixotròpic i de retracció controlada,p/reparació</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0,860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2,46</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84,58</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2.6</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 Reparació de cantell de sostre o balcó de formigó armat, amb repicat del formigó, sanejament i raspallat de les armadures amb mitjans manuals, passivat de les armadures, imprimació anticorrosiva i pont d'unió amb morter polimèric de resines epoxi, restitució de la part afectada amb morter polimèric de reparació</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Manobre</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21,170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Morter polimèric ciment+resines epoxi,p/imprimació anticorrosiva i pont d'unió</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5,750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Morter polimèric ciment+resines sintètiques i fibres,tixotròpic i de retracció controlada,p/reparació</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0,860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1,18</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40,42</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2.7</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Neteja i fresat superficial en sec sobre parament vertical de formigó, de pols, restes orgàniques i biodipòsits-detritus, extracció de de salitre i contaminació del formigó amb mitjans no agressius i instruments desincrustants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Manobre</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0,212</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21,170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4,49</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0,212</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5,38</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(Resta d'obra)</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0,25</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0,30</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10,42</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2.8</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Pintat de parament vertical exterior de ciment, amb pintura al silicat amb acabat llis, i pigments, amb una capa d'imprimació fixadora i dues d'acabat. Artigum façanes llis, Sika color 671W o similar</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Ajudant pintor</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0,047</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22,510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1,06</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 pintor</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0,463</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11,74</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Pintura al silicat,per a exteriors</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0,398</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10,115</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4,03</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Imprimació fixadora acrílica</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0,143</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4,324</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0,62</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(Resta d'obra)</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0,19</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0,53</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18,17</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2.9</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Fregat d'òxid, neteja i repintat de reixa d'acer amb barrots a 12 cm de separació, amb pintura de partícules metàl·liques, dues capes d'imprimació antioxidant i dues capes d'acabat</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Ajudant pintor</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0,570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22,510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12,83</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 pintor</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0,520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13,19</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Pintura partícules metàl·liques</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0,408</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10,880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4,44</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Imprimació antioxidant</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0,204</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12,480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2,55</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(Resta d'obra)</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0,39</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1,00</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34,40</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2.10</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m3 Transport de residus a instal·lació autoritzada de gestió de residus, amb camió de 7 t i temps d'espera per a la càrrega a màquina, amb un recorregut de més de 10 i fins a 15 km</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(Maquinària)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Camió per a transport7 t</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0,286</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33,030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9,45</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0,28</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9,73</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vAlign w:val="top"/>
            <w:gridSpan w:val="5"/>
          </w:tcPr>
          <w:p>
            <w:pPr>
              <w:spacing w:after="0" w:line="240" w:lineRule="auto"/>
              <w:rPr>
                <w:rFonts w:ascii="Arial" w:hAnsi="Arial" w:cs="Arial"/>
                <w:sz w:val="20"/>
                <w:b/>
              </w:rPr>
            </w:pPr>
            <w:r>
              <w:rPr>
                <w:rFonts w:ascii="Arial" w:hAnsi="Arial" w:cs="Arial"/>
                <w:sz w:val="20"/>
                <w:b/>
              </w:rPr>
              <w:t xml:space="preserve">3 FAÇANA INTERIOR PISCINES DESCOBERTES P1 (NORD)</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3.1</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Muntatge i desmuntatge de bastida tubular metàl·lica fixa formada per bastiments de 70 cm i alçària &lt;= 200 cm, amb bases regulables, tubs travessers, tubs de travament, plataformes de treball d'amplària com a mínim de 60 cm, escales d'accés, baranes laterals, sòcols i xarxa de protecció de poliamida, col·locada a tota la cara exterior i amarradors cada 20 m2 de façana, inclosos tots els elements de senyalització normalitzats, amortització i el transport amb un recorregut total màxim de 20 km</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Ajudant muntador</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0,243</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22,510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5,47</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 muntador</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0,122</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26,210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3,20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(Maquinària)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Camió per a transport7 t</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0,040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33,030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1,32</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(Resta d'obra)</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0,13</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0,30</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10,42</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3.2</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Buixardat de parament disgregat i deteriorat de superfície plana de formigó, amb mitjans mecànics que presenti desprendiments o microfisuracions, deixant la superficie neta, sana i exempta de greix i particules. Repicat maxim 5 cm. aribant a descubrir les armadures que presentin oxidació. (Previssió d'actuació en un 20% de la superficie Total) inclos carrga manual a contenidor.</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Manobre</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21,170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(Maquinària)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Màq.pneum.abuix.+comp.port.</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2,450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1,65</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56,67</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3.3</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Raspallat manual o amb maquina de restes d'oxids en parament vertical amb raspall metalic de les armadures que presentin oxidació, inclos carrega a contenidor.</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Manobre</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0,615</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21,170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13,02</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(Resta d'obra)</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0,33</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0,40</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13,75</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3.4</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Passivat d'armadura amb morter polimèric d'imprimació anticorrosiva i pont d'unió de ciment i resines epoxi amb Sika Armatec 110 Epocem o similar</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0,010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0,25</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Morter polimèric ciment+resines epoxi,p/imprimació anticorrosiva i pont d'unió</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0,800</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5,750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4,60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(Resta d'obra)</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0,01</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0,15</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5,01</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3.5</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Regeneració de superfícies escrostonades, amb segregacions, escantellades, erosions o zones amb desprendiments en paraments de formigó, amb morter tixotròpic de dos components de ciment, resines sintètiques, fum de sílice i reforçat amb fibres, aplicació SIKA Monocop 442 multiflow, Propam Retard 40 o similar.</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Manobre</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21,170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Morter polimèric ciment+resines epoxi,p/imprimació anticorrosiva i pont d'unió</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5,750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Morter polimèric ciment+resines sintètiques i fibres,tixotròpic i de retracció controlada,p/reparació</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0,860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2,46</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84,58</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3.6</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Neteja i fresat superficial en sec sobre parament vertical de formigó, de pols, restes orgàniques i biodipòsits-detritus, extracció de de salitre i contaminació del formigó amb mitjans no agressius i instruments desincrustants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Manobre</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0,212</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21,170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4,49</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0,212</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5,38</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(Resta d'obra)</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0,25</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0,30</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10,42</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3.7</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Pintat de parament vertical exterior de ciment, amb pintura al silicat amb acabat llis, i pigments, amb una capa d'imprimació fixadora i dues d'acabat. Artigum façanes llis, Sika color 671W o similar</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Ajudant pintor</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0,047</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22,510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1,06</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 pintor</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0,463</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11,74</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Pintura al silicat,per a exteriors</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0,398</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10,115</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4,03</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Imprimació fixadora acrílica</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0,143</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4,324</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0,62</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(Resta d'obra)</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0,19</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0,53</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18,17</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3.8</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m3 Transport de residus a instal·lació autoritzada de gestió de residus, amb camió de 7 t i temps d'espera per a la càrrega a màquina, amb un recorregut de més de 10 i fins a 15 km</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(Maquinària)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Camió per a transport7 t</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0,286</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33,030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9,45</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0,28</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9,73</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vAlign w:val="top"/>
            <w:gridSpan w:val="5"/>
          </w:tcPr>
          <w:p>
            <w:pPr>
              <w:spacing w:after="0" w:line="240" w:lineRule="auto"/>
              <w:rPr>
                <w:rFonts w:ascii="Arial" w:hAnsi="Arial" w:cs="Arial"/>
                <w:sz w:val="20"/>
                <w:b/>
              </w:rPr>
            </w:pPr>
            <w:r>
              <w:rPr>
                <w:rFonts w:ascii="Arial" w:hAnsi="Arial" w:cs="Arial"/>
                <w:sz w:val="20"/>
                <w:b/>
              </w:rPr>
              <w:t xml:space="preserve">4 FAÇANA INTERIOR PISCINES DESCOBERTES P1 (EST)</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4.1</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Muntatge i desmuntatge de bastida tubular metàl·lica fixa formada per bastiments de 70 cm i alçària &lt;= 200 cm, amb bases regulables, tubs travessers, tubs de travament, plataformes de treball d'amplària com a mínim de 60 cm, escales d'accés, baranes laterals, sòcols i xarxa de protecció de poliamida, col·locada a tota la cara exterior i amarradors cada 20 m2 de façana, inclosos tots els elements de senyalització normalitzats, amortització i el transport amb un recorregut total màxim de 20 km</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Ajudant muntador</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0,243</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22,510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5,47</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 muntador</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0,122</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26,210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3,20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(Maquinària)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Camió per a transport7 t</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0,040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33,030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1,32</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(Resta d'obra)</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0,13</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0,30</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10,42</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4.2</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Buixardat de parament disgregat i deteriorat de superfície plana de formigó, amb mitjans mecànics que presenti desprendiments o microfisuracions, deixant la superficie neta, sana i exempta de greix i particules. Repicat maxim 5 cm. aribant a descubrir les armadures que presentin oxidació. (Previssió d'actuació en un 20% de la superficie Total) inclos carrga manual a contenidor.</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Manobre</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21,170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(Maquinària)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Màq.pneum.abuix.+comp.port.</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2,450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1,65</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56,67</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4.3</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Raspallat manual o amb maquina de restes d'oxids en parament vertical amb raspall metalic de les armadures que presentin oxidació, inclos carrega a contenidor.</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Manobre</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0,615</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21,170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13,02</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(Resta d'obra)</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0,33</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0,40</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13,75</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4.4</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Passivat d'armadura amb morter polimèric d'imprimació anticorrosiva i pont d'unió de ciment i resines epoxi amb Sika Armatec 110 Epocem o similar</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0,010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0,25</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Morter polimèric ciment+resines epoxi,p/imprimació anticorrosiva i pont d'unió</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0,800</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5,750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4,60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(Resta d'obra)</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0,01</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0,15</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5,01</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4.5</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Regeneració de superfícies escrostonades, amb segregacions, escantellades, erosions o zones amb desprendiments en paraments de formigó, amb morter tixotròpic de dos components de ciment, resines sintètiques, fum de sílice i reforçat amb fibres, aplicació SIKA Monocop 442 multiflow, Propam Retard 40 o similar.</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Manobre</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21,170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Morter polimèric ciment+resines epoxi,p/imprimació anticorrosiva i pont d'unió</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5,750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Morter polimèric ciment+resines sintètiques i fibres,tixotròpic i de retracció controlada,p/reparació</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0,860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2,46</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84,58</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4.6</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 Reparació de cantell de sostre o balcó de formigó armat, amb repicat del formigó, sanejament i raspallat de les armadures amb mitjans manuals, passivat de les armadures, imprimació anticorrosiva i pont d'unió amb morter polimèric de resines epoxi, restitució de la part afectada amb morter polimèric de reparació</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Manobre</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21,170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Morter polimèric ciment+resines epoxi,p/imprimació anticorrosiva i pont d'unió</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5,750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Morter polimèric ciment+resines sintètiques i fibres,tixotròpic i de retracció controlada,p/reparació</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0,860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1,18</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40,42</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4.7</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Neteja i fresat superficial en sec sobre parament vertical de formigó, de pols, restes orgàniques i biodipòsits-detritus, extracció de de salitre i contaminació del formigó amb mitjans no agressius i instruments desincrustants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Manobre</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0,212</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21,170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4,49</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0,212</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5,38</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(Resta d'obra)</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0,25</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0,30</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10,42</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4.8</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Pintat de parament vertical exterior de ciment, amb pintura al silicat amb acabat llis, i pigments, amb una capa d'imprimació fixadora i dues d'acabat. Artigum façanes llis, Sika color 671W o similar</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Ajudant pintor</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0,047</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22,510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1,06</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 pintor</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0,463</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11,74</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Pintura al silicat,per a exteriors</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0,398</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10,115</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4,03</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Imprimació fixadora acrílica</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0,143</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4,324</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0,62</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(Resta d'obra)</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0,19</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0,53</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18,17</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4.9</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m3 Transport de residus a instal·lació autoritzada de gestió de residus, amb camió de 7 t i temps d'espera per a la càrrega a màquina, amb un recorregut de més de 10 i fins a 15 km</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(Maquinària)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Camió per a transport7 t</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0,286</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33,030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9,45</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0,28</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9,73</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vAlign w:val="top"/>
            <w:gridSpan w:val="5"/>
          </w:tcPr>
          <w:p>
            <w:pPr>
              <w:spacing w:after="0" w:line="240" w:lineRule="auto"/>
              <w:rPr>
                <w:rFonts w:ascii="Arial" w:hAnsi="Arial" w:cs="Arial"/>
                <w:sz w:val="20"/>
                <w:b/>
              </w:rPr>
            </w:pPr>
            <w:r>
              <w:rPr>
                <w:rFonts w:ascii="Arial" w:hAnsi="Arial" w:cs="Arial"/>
                <w:sz w:val="20"/>
                <w:b/>
              </w:rPr>
              <w:t xml:space="preserve">5 FAÇANA MAR PISCINA COBERTA (EST)</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5.1</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Muntatge i desmuntatge de bastida tubular metàl·lica fixa formada per bastiments de 70 cm i alçària &lt;= 200 cm, amb bases regulables, tubs travessers, tubs de travament, plataformes de treball d'amplària com a mínim de 60 cm, escales d'accés, baranes laterals, sòcols i xarxa de protecció de poliamida, col·locada a tota la cara exterior i amarradors cada 20 m2 de façana, inclosos tots els elements de senyalització normalitzats, amortització i el transport amb un recorregut total màxim de 20 km</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Ajudant muntador</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0,243</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22,510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5,47</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 muntador</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0,122</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26,210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3,20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(Maquinària)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Camió per a transport7 t</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0,040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33,030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1,32</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(Resta d'obra)</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0,13</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0,30</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10,42</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5.2</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Buixardat de parament disgregat i deteriorat de superfície plana de formigó, amb mitjans mecànics que presenti desprendiments o microfisuracions, deixant la superficie neta, sana i exempta de greix i particules. Repicat maxim 5 cm. aribant a descubrir les armadures que presentin oxidació. (Previssió d'actuació en un 20% de la superficie Total) inclos carrga manual a contenidor.</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Manobre</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21,170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(Maquinària)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Màq.pneum.abuix.+comp.port.</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2,450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1,65</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56,67</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5.3</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Raspallat manual o amb maquina de restes d'oxids en parament vertical amb raspall metalic de les armadures que presentin oxidació, inclos carrega a contenidor.</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Manobre</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0,615</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21,170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13,02</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(Resta d'obra)</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0,33</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0,40</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13,75</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5.4</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Passivat d'armadura amb morter polimèric d'imprimació anticorrosiva i pont d'unió de ciment i resines epoxi amb Sika Armatec 110 Epocem o similar</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0,010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0,25</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Morter polimèric ciment+resines epoxi,p/imprimació anticorrosiva i pont d'unió</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0,800</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5,750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4,60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(Resta d'obra)</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0,01</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0,15</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5,01</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5.5</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Regeneració de superfícies escrostonades, amb segregacions, escantellades, erosions o zones amb desprendiments en paraments de formigó, amb morter tixotròpic de dos components de ciment, resines sintètiques, fum de sílice i reforçat amb fibres, aplicació SIKA Monocop 442 multiflow, Propam Retard 40 o similar.</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Manobre</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21,170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Morter polimèric ciment+resines epoxi,p/imprimació anticorrosiva i pont d'unió</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5,750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Morter polimèric ciment+resines sintètiques i fibres,tixotròpic i de retracció controlada,p/reparació</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0,860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2,46</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84,58</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5.6</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 Reparació de cantell de sostre o balcó de formigó armat, amb repicat del formigó, sanejament i raspallat de les armadures amb mitjans manuals, passivat de les armadures, imprimació anticorrosiva i pont d'unió amb morter polimèric de resines epoxi, restitució de la part afectada amb morter polimèric de reparació</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Manobre</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21,170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Morter polimèric ciment+resines epoxi,p/imprimació anticorrosiva i pont d'unió</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5,750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Morter polimèric ciment+resines sintètiques i fibres,tixotròpic i de retracció controlada,p/reparació</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0,000</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0,860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1,18</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40,42</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5.7</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Neteja i fresat superficial en sec sobre parament vertical de formigó, de pols, restes orgàniques i biodipòsits-detritus, extracció de de salitre i contaminació del formigó amb mitjans no agressius i instruments desincrustants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Manobre</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0,212</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21,170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4,49</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0,212</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5,38</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(Resta d'obra)</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0,25</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0,30</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10,42</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5.8</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Pintat de parament vertical exterior de ciment, amb pintura al silicat amb acabat llis, i pigments, amb una capa d'imprimació fixadora i dues d'acabat. Artigum façanes llis, Sika color 671W o similar</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Ajudant pintor</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0,047</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22,510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1,06</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 pintor</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0,463</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11,74</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Pintura al silicat,per a exteriors</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0,398</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10,115</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4,03</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Imprimació fixadora acrílica</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0,143</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4,324</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0,62</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(Resta d'obra)</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0,19</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0,53</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18,17</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5.9</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m2 Impermeabilització de parament horitzontal amb morter impermeabilitzant de capa gruixuda, pel mètode de membrana rígida, monocomponent, de base ciment, d'adormiment ràpid de 13 mm de gruix aplicat en dues capes, previ repicat, neteja i raspallat de l'antic revestiment i amb acabat remolinat</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Manobre</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0,800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21,170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16,94</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 col·locador</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0,600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15,22</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(Maquinària)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Mesclador continu per a morter preparat en sacs</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0,300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1,420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0,43</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Aigua</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0,009</w:t>
            </w:r>
          </w:p>
        </w:tc>
        <w:tc>
          <w:tcPr>
            <w:tcW w:w="527" w:type="dxa"/>
            <w:noWrap/>
            <w:vAlign w:val="top"/>
          </w:tcPr>
          <w:p>
            <w:pPr>
              <w:spacing w:after="120" w:line="240" w:lineRule="auto"/>
              <w:rPr>
                <w:rFonts w:ascii="Arial" w:hAnsi="Arial" w:cs="Arial"/>
                <w:sz w:val="16"/>
              </w:rPr>
            </w:pPr>
            <w:r>
              <w:rPr>
                <w:rFonts w:ascii="Arial" w:hAnsi="Arial" w:cs="Arial"/>
                <w:sz w:val="16"/>
              </w:rPr>
              <w:t xml:space="preserve">m3</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1,600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0,01</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Morter impermeabilitzantcapa gruixuda membrana rígida ciment adorm.ràpid</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27,300</w:t>
            </w:r>
          </w:p>
        </w:tc>
        <w:tc>
          <w:tcPr>
            <w:tcW w:w="527" w:type="dxa"/>
            <w:noWrap/>
            <w:vAlign w:val="top"/>
          </w:tcPr>
          <w:p>
            <w:pPr>
              <w:spacing w:after="120" w:line="240" w:lineRule="auto"/>
              <w:rPr>
                <w:rFonts w:ascii="Arial" w:hAnsi="Arial" w:cs="Arial"/>
                <w:sz w:val="16"/>
              </w:rPr>
            </w:pPr>
            <w:r>
              <w:rPr>
                <w:rFonts w:ascii="Arial" w:hAnsi="Arial" w:cs="Arial"/>
                <w:sz w:val="16"/>
              </w:rPr>
              <w:t xml:space="preserve">kg</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1,520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41,50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(Resta d'obra)</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0,48</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2,24</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76,82</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5.10</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m3 Transport de residus a instal·lació autoritzada de gestió de residus, amb camió de 7 t i temps d'espera per a la càrrega a màquina, amb un recorregut de més de 10 i fins a 15 km</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(Maquinària)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Camió per a transport7 t</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0,286</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33,030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9,45</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0,28</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9,73</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vAlign w:val="top"/>
            <w:gridSpan w:val="5"/>
          </w:tcPr>
          <w:p>
            <w:pPr>
              <w:spacing w:after="0" w:line="240" w:lineRule="auto"/>
              <w:rPr>
                <w:rFonts w:ascii="Arial" w:hAnsi="Arial" w:cs="Arial"/>
                <w:sz w:val="20"/>
                <w:b/>
              </w:rPr>
            </w:pPr>
            <w:r>
              <w:rPr>
                <w:rFonts w:ascii="Arial" w:hAnsi="Arial" w:cs="Arial"/>
                <w:sz w:val="20"/>
                <w:b/>
              </w:rPr>
              <w:t xml:space="preserve">6 SEGURETAT I SALUT</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6.1</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u Interruptor diferencial de la classe AC, gamma terciari, de 25 A d'intensitat nominal, bipolar (2P), de sensibilitat 0,03 A, de desconnexió fix instantani, amb botó de test incorporat i indicador mecànic de defecte, construït segons les especificacions de la norma UNE-EN 61008-1, de 2 mòduls DIN de 18 mm d'amplària, muntat en perfil DIN, desmuntatge inclòs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Ajudant per a seguretat i salut</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0,220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22,510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4,95</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 per a seguretat i salut</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0,390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9,89</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Interruptor diferencialclasse AC,gamma terciari,I=25A,bipolar (2P),0,03A,fix instantani,2mòd.DIN,per a muntar en perfil DIN,per a seguretat i salut</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1,000</w:t>
            </w:r>
          </w:p>
        </w:tc>
        <w:tc>
          <w:tcPr>
            <w:tcW w:w="527" w:type="dxa"/>
            <w:noWrap/>
            <w:vAlign w:val="top"/>
          </w:tcPr>
          <w:p>
            <w:pPr>
              <w:spacing w:after="120" w:line="240" w:lineRule="auto"/>
              <w:rPr>
                <w:rFonts w:ascii="Arial" w:hAnsi="Arial" w:cs="Arial"/>
                <w:sz w:val="16"/>
              </w:rPr>
            </w:pPr>
            <w:r>
              <w:rPr>
                <w:rFonts w:ascii="Arial" w:hAnsi="Arial" w:cs="Arial"/>
                <w:sz w:val="16"/>
              </w:rPr>
              <w:t xml:space="preserve">u</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86,340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86,34</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P.p.accessoris per a interruptors diferencialsper a seguretat i salut</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1,000</w:t>
            </w:r>
          </w:p>
        </w:tc>
        <w:tc>
          <w:tcPr>
            <w:tcW w:w="527" w:type="dxa"/>
            <w:noWrap/>
            <w:vAlign w:val="top"/>
          </w:tcPr>
          <w:p>
            <w:pPr>
              <w:spacing w:after="120" w:line="240" w:lineRule="auto"/>
              <w:rPr>
                <w:rFonts w:ascii="Arial" w:hAnsi="Arial" w:cs="Arial"/>
                <w:sz w:val="16"/>
              </w:rPr>
            </w:pPr>
            <w:r>
              <w:rPr>
                <w:rFonts w:ascii="Arial" w:hAnsi="Arial" w:cs="Arial"/>
                <w:sz w:val="16"/>
              </w:rPr>
              <w:t xml:space="preserve">u</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0,380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0,38</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(Resta d'obra)</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0,22</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3,05</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104,83</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6.2</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u Aparell d'ancoratge per a equip de protecció individual contra caiguda d'alçada, homologat segons UNE-EN 795, amb fixació amb tac mecànic</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Oficial 1a per a seguretat i salut</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0,100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25,360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2,54</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Tac acer D=10mm,cargol, volandera i femella,per a seguretat i salut</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1,000</w:t>
            </w:r>
          </w:p>
        </w:tc>
        <w:tc>
          <w:tcPr>
            <w:tcW w:w="527" w:type="dxa"/>
            <w:noWrap/>
            <w:vAlign w:val="top"/>
          </w:tcPr>
          <w:p>
            <w:pPr>
              <w:spacing w:after="120" w:line="240" w:lineRule="auto"/>
              <w:rPr>
                <w:rFonts w:ascii="Arial" w:hAnsi="Arial" w:cs="Arial"/>
                <w:sz w:val="16"/>
              </w:rPr>
            </w:pPr>
            <w:r>
              <w:rPr>
                <w:rFonts w:ascii="Arial" w:hAnsi="Arial" w:cs="Arial"/>
                <w:sz w:val="16"/>
              </w:rPr>
              <w:t xml:space="preserve">u</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0,990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0,99</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Aparell d'ancoratge per a equip de protecció individual contra caiguda d'alçada</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1,000</w:t>
            </w:r>
          </w:p>
        </w:tc>
        <w:tc>
          <w:tcPr>
            <w:tcW w:w="527" w:type="dxa"/>
            <w:noWrap/>
            <w:vAlign w:val="top"/>
          </w:tcPr>
          <w:p>
            <w:pPr>
              <w:spacing w:after="120" w:line="240" w:lineRule="auto"/>
              <w:rPr>
                <w:rFonts w:ascii="Arial" w:hAnsi="Arial" w:cs="Arial"/>
                <w:sz w:val="16"/>
              </w:rPr>
            </w:pPr>
            <w:r>
              <w:rPr>
                <w:rFonts w:ascii="Arial" w:hAnsi="Arial" w:cs="Arial"/>
                <w:sz w:val="16"/>
              </w:rPr>
              <w:t xml:space="preserve">u</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19,930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19,93</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(Resta d'obra)</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0,04</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0,71</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24,21</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6.3</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u Parella de botes d'aigua de PVC de canya alta, per posada en obra del formigó, amb plantilla metàl·lica, amb sola antilliscant i folrades de niló rentable, homologades segons UNE-EN ISO 20344, UNE-EN ISO 20345, UNE-EN ISO 20346 i UNE-EN ISO 20347</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Parella botes d'aigua,PVC,canya alta,per posada en obra del formigó,amb plantilla metàl·lica, amb sola antilliscant i folrades de niló rentable</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1,000</w:t>
            </w:r>
          </w:p>
        </w:tc>
        <w:tc>
          <w:tcPr>
            <w:tcW w:w="527" w:type="dxa"/>
            <w:noWrap/>
            <w:vAlign w:val="top"/>
          </w:tcPr>
          <w:p>
            <w:pPr>
              <w:spacing w:after="120" w:line="240" w:lineRule="auto"/>
              <w:rPr>
                <w:rFonts w:ascii="Arial" w:hAnsi="Arial" w:cs="Arial"/>
                <w:sz w:val="16"/>
              </w:rPr>
            </w:pPr>
            <w:r>
              <w:rPr>
                <w:rFonts w:ascii="Arial" w:hAnsi="Arial" w:cs="Arial"/>
                <w:sz w:val="16"/>
              </w:rPr>
              <w:t xml:space="preserve">u</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19,610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19,61</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0,59</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20,20</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6.4</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u Casc de seguretat per a ús normal, contra cops, de polietilè amb un pes màxim de 400 g, homologat segons UNE-EN 812</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Casc seguretat p/ús normal, contra cops,polietilè,pmàxim de 400g</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1,000</w:t>
            </w:r>
          </w:p>
        </w:tc>
        <w:tc>
          <w:tcPr>
            <w:tcW w:w="527" w:type="dxa"/>
            <w:noWrap/>
            <w:vAlign w:val="top"/>
          </w:tcPr>
          <w:p>
            <w:pPr>
              <w:spacing w:after="120" w:line="240" w:lineRule="auto"/>
              <w:rPr>
                <w:rFonts w:ascii="Arial" w:hAnsi="Arial" w:cs="Arial"/>
                <w:sz w:val="16"/>
              </w:rPr>
            </w:pPr>
            <w:r>
              <w:rPr>
                <w:rFonts w:ascii="Arial" w:hAnsi="Arial" w:cs="Arial"/>
                <w:sz w:val="16"/>
              </w:rPr>
              <w:t xml:space="preserve">u</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6,090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6,09</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0,18</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6,27</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6.5</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u Cinturó de seguretat de subjecció, suspensió i anticaiguda, classes A, B i C, de polièster i ferramenta estampada, amb arnesos de subjecció per al tronc i per a les extremitats inferiors, homologat segons CE</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Cinturó cl.A, B i C de polièster i ferramenta estampada, amb arnesos de subjecció per al tronc i per a les extremitats inferiors</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1,000</w:t>
            </w:r>
          </w:p>
        </w:tc>
        <w:tc>
          <w:tcPr>
            <w:tcW w:w="527" w:type="dxa"/>
            <w:noWrap/>
            <w:vAlign w:val="top"/>
          </w:tcPr>
          <w:p>
            <w:pPr>
              <w:spacing w:after="120" w:line="240" w:lineRule="auto"/>
              <w:rPr>
                <w:rFonts w:ascii="Arial" w:hAnsi="Arial" w:cs="Arial"/>
                <w:sz w:val="16"/>
              </w:rPr>
            </w:pPr>
            <w:r>
              <w:rPr>
                <w:rFonts w:ascii="Arial" w:hAnsi="Arial" w:cs="Arial"/>
                <w:sz w:val="16"/>
              </w:rPr>
              <w:t xml:space="preserve">u</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134,210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134,21</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4,03</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138,24</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6.6</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m Corda de poliamida d'alta tenacitat, de 16 mm de diàmetre, per a sirga de cinturó de seguretat</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Corda poliamida d'alta tenacitat,per a sirga de cinturó de seguretat</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1,000</w:t>
            </w:r>
          </w:p>
        </w:tc>
        <w:tc>
          <w:tcPr>
            <w:tcW w:w="527" w:type="dxa"/>
            <w:noWrap/>
            <w:vAlign w:val="top"/>
          </w:tcPr>
          <w:p>
            <w:pPr>
              <w:spacing w:after="120" w:line="240" w:lineRule="auto"/>
              <w:rPr>
                <w:rFonts w:ascii="Arial" w:hAnsi="Arial" w:cs="Arial"/>
                <w:sz w:val="16"/>
              </w:rPr>
            </w:pPr>
            <w:r>
              <w:rPr>
                <w:rFonts w:ascii="Arial" w:hAnsi="Arial" w:cs="Arial"/>
                <w:sz w:val="16"/>
              </w:rPr>
              <w:t xml:space="preserve">m</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5,470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5,47</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0,16</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5,63</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6.7</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u Parella de guants antihumitat resistents als productes químics, de neoprè sense suport i folrat de cotó, amb maniguets fins a mig avantbraç</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Guants antihumitat resistents als productes químics,de neoprè sense suport i folrat de cotó,amb maniguets fins a mig avantbraç</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1,000</w:t>
            </w:r>
          </w:p>
        </w:tc>
        <w:tc>
          <w:tcPr>
            <w:tcW w:w="527" w:type="dxa"/>
            <w:noWrap/>
            <w:vAlign w:val="top"/>
          </w:tcPr>
          <w:p>
            <w:pPr>
              <w:spacing w:after="120" w:line="240" w:lineRule="auto"/>
              <w:rPr>
                <w:rFonts w:ascii="Arial" w:hAnsi="Arial" w:cs="Arial"/>
                <w:sz w:val="16"/>
              </w:rPr>
            </w:pPr>
            <w:r>
              <w:rPr>
                <w:rFonts w:ascii="Arial" w:hAnsi="Arial" w:cs="Arial"/>
                <w:sz w:val="16"/>
              </w:rPr>
              <w:t xml:space="preserve">u</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8,860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8,86</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0,27</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9,13</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6.8</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u Parella de manyoples de material aïllant per a treballs elèctrics, classe 0, logotip color vermell, tensió màxima 1000 V, homologades segons UNE-EN 420</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Manyoples material aïllant,per a treballs elèctrics,classe 0,logotip vermell,tensió màx.1000V</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1,000</w:t>
            </w:r>
          </w:p>
        </w:tc>
        <w:tc>
          <w:tcPr>
            <w:tcW w:w="527" w:type="dxa"/>
            <w:noWrap/>
            <w:vAlign w:val="top"/>
          </w:tcPr>
          <w:p>
            <w:pPr>
              <w:spacing w:after="120" w:line="240" w:lineRule="auto"/>
              <w:rPr>
                <w:rFonts w:ascii="Arial" w:hAnsi="Arial" w:cs="Arial"/>
                <w:sz w:val="16"/>
              </w:rPr>
            </w:pPr>
            <w:r>
              <w:rPr>
                <w:rFonts w:ascii="Arial" w:hAnsi="Arial" w:cs="Arial"/>
                <w:sz w:val="16"/>
              </w:rPr>
              <w:t xml:space="preserve">u</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33,060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33,06</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0,99</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34,05</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6.9</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u Protector auditiu tipus orellera acoplable a casc industrial de seguretat, homologat segons UNE-EN 352-8, UNE-EN 397 i UNE-EN 458</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Protector tipus orellera,acoplable a casc industrial de seguretat</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1,000</w:t>
            </w:r>
          </w:p>
        </w:tc>
        <w:tc>
          <w:tcPr>
            <w:tcW w:w="527" w:type="dxa"/>
            <w:noWrap/>
            <w:vAlign w:val="top"/>
          </w:tcPr>
          <w:p>
            <w:pPr>
              <w:spacing w:after="120" w:line="240" w:lineRule="auto"/>
              <w:rPr>
                <w:rFonts w:ascii="Arial" w:hAnsi="Arial" w:cs="Arial"/>
                <w:sz w:val="16"/>
              </w:rPr>
            </w:pPr>
            <w:r>
              <w:rPr>
                <w:rFonts w:ascii="Arial" w:hAnsi="Arial" w:cs="Arial"/>
                <w:sz w:val="16"/>
              </w:rPr>
              <w:t xml:space="preserve">u</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15,330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15,33</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0,46</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15,79</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6.10</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u Ulleres de seguretat per a tall oxiacetilènic, amb muntura universal de barnilla d'acer recoberta de PVC, amb visors circulars de 50 mm de D foscos de color DIN 5, homologades segons UNE-EN 175 i UNE-EN 169</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Ulleres per a tall oxiacetilènic,muntura universal de barnilla d'acer recoberta de PVC,visors circulars de 50 mm de D foscos de color DIN 5</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1,000</w:t>
            </w:r>
          </w:p>
        </w:tc>
        <w:tc>
          <w:tcPr>
            <w:tcW w:w="527" w:type="dxa"/>
            <w:noWrap/>
            <w:vAlign w:val="top"/>
          </w:tcPr>
          <w:p>
            <w:pPr>
              <w:spacing w:after="120" w:line="240" w:lineRule="auto"/>
              <w:rPr>
                <w:rFonts w:ascii="Arial" w:hAnsi="Arial" w:cs="Arial"/>
                <w:sz w:val="16"/>
              </w:rPr>
            </w:pPr>
            <w:r>
              <w:rPr>
                <w:rFonts w:ascii="Arial" w:hAnsi="Arial" w:cs="Arial"/>
                <w:sz w:val="16"/>
              </w:rPr>
              <w:t xml:space="preserve">u</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4,900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4,90</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0,15</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5,05</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6.11</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u Armilla salvavides amb material flotant, de niló</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(Materials)</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Armilla salvavides,material flotant,niló</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1,000</w:t>
            </w:r>
          </w:p>
        </w:tc>
        <w:tc>
          <w:tcPr>
            <w:tcW w:w="527" w:type="dxa"/>
            <w:noWrap/>
            <w:vAlign w:val="top"/>
          </w:tcPr>
          <w:p>
            <w:pPr>
              <w:spacing w:after="120" w:line="240" w:lineRule="auto"/>
              <w:rPr>
                <w:rFonts w:ascii="Arial" w:hAnsi="Arial" w:cs="Arial"/>
                <w:sz w:val="16"/>
              </w:rPr>
            </w:pPr>
            <w:r>
              <w:rPr>
                <w:rFonts w:ascii="Arial" w:hAnsi="Arial" w:cs="Arial"/>
                <w:sz w:val="16"/>
              </w:rPr>
              <w:t xml:space="preserve">u</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48,680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48,68</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1,46</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50,14</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6.12</w:t>
            </w:r>
          </w:p>
        </w:tc>
        <w:tc>
          <w:tcPr>
            <w:tcW w:w="6797" w:type="dxa"/>
            <w:tcBorders>
              <w:left w:val="single" w:sz="2" w:space="0" w:color="000000"/>
              <w:right w:val="single" w:sz="2" w:space="0" w:color="000000"/>
            </w:tcBorders>
            <w:vAlign w:val="top"/>
            <w:gridSpan w:val="5"/>
          </w:tcPr>
          <w:p>
            <w:pPr>
              <w:spacing w:after="0" w:line="240" w:lineRule="auto"/>
              <w:jc w:val="both"/>
              <w:rPr>
                <w:rFonts w:ascii="Arial" w:hAnsi="Arial" w:cs="Arial"/>
                <w:sz w:val="16"/>
              </w:rPr>
            </w:pPr>
            <w:r>
              <w:rPr>
                <w:rFonts w:ascii="Arial" w:hAnsi="Arial" w:cs="Arial"/>
                <w:sz w:val="16"/>
              </w:rPr>
              <w:t xml:space="preserve">h Senyaler</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(Mà d'obra)</w:t>
            </w:r>
          </w:p>
        </w:tc>
        <w:tc>
          <w:tcPr>
            <w:tcW w:w="102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left w:val="single" w:sz="2" w:space="0" w:color="000000"/>
            </w:tcBorders>
            <w:noWrap/>
            <w:vAlign w:val="top"/>
          </w:tcPr>
          <w:p>
            <w:pPr>
              <w:spacing w:after="120" w:line="240" w:lineRule="auto"/>
              <w:rPr>
                <w:rFonts w:ascii="Courier New" w:hAnsi="Courier New" w:cs="Courier New"/>
                <w:sz w:val="16"/>
              </w:rPr>
            </w:pPr>
            <w:r>
              <w:rPr>
                <w:rFonts w:ascii="Courier New" w:hAnsi="Courier New" w:cs="Courier New"/>
                <w:sz w:val="16"/>
              </w:rPr>
              <w:t xml:space="preserve">Manobre per a seguretat i salut</w:t>
            </w:r>
          </w:p>
        </w:tc>
        <w:tc>
          <w:tcPr>
            <w:tcW w:w="1094" w:type="dxa"/>
            <w:noWrap/>
            <w:vAlign w:val="top"/>
          </w:tcPr>
          <w:p>
            <w:pPr>
              <w:spacing w:after="120" w:line="240" w:lineRule="auto"/>
              <w:jc w:val="right"/>
              <w:rPr>
                <w:rFonts w:ascii="Arial" w:hAnsi="Arial" w:cs="Arial"/>
                <w:sz w:val="16"/>
              </w:rPr>
            </w:pPr>
            <w:r>
              <w:rPr>
                <w:rFonts w:ascii="Arial" w:hAnsi="Arial" w:cs="Arial"/>
                <w:sz w:val="16"/>
              </w:rPr>
              <w:t xml:space="preserve">1,000</w:t>
            </w:r>
          </w:p>
        </w:tc>
        <w:tc>
          <w:tcPr>
            <w:tcW w:w="527" w:type="dxa"/>
            <w:noWrap/>
            <w:vAlign w:val="top"/>
          </w:tcPr>
          <w:p>
            <w:pPr>
              <w:spacing w:after="120" w:line="240" w:lineRule="auto"/>
              <w:rPr>
                <w:rFonts w:ascii="Arial" w:hAnsi="Arial" w:cs="Arial"/>
                <w:sz w:val="16"/>
              </w:rPr>
            </w:pPr>
            <w:r>
              <w:rPr>
                <w:rFonts w:ascii="Arial" w:hAnsi="Arial" w:cs="Arial"/>
                <w:sz w:val="16"/>
              </w:rPr>
              <w:t xml:space="preserve">h</w:t>
            </w:r>
          </w:p>
        </w:tc>
        <w:tc>
          <w:tcPr>
            <w:tcW w:w="1060" w:type="dxa"/>
            <w:tcBorders>
              <w:right w:val="single" w:sz="2" w:space="0" w:color="000000"/>
            </w:tcBorders>
            <w:noWrap/>
            <w:vAlign w:val="top"/>
            <w:gridSpan w:val="2"/>
          </w:tcPr>
          <w:p>
            <w:pPr>
              <w:spacing w:after="120" w:line="240" w:lineRule="auto"/>
              <w:jc w:val="right"/>
              <w:rPr>
                <w:rFonts w:ascii="Arial" w:hAnsi="Arial" w:cs="Arial"/>
                <w:sz w:val="16"/>
              </w:rPr>
            </w:pPr>
            <w:r>
              <w:rPr>
                <w:rFonts w:ascii="Arial" w:hAnsi="Arial" w:cs="Arial"/>
                <w:sz w:val="16"/>
              </w:rPr>
              <w:t xml:space="preserve">21,170</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21,17</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left w:val="single" w:sz="2" w:space="0" w:color="000000"/>
              <w:right w:val="single" w:sz="2" w:space="0" w:color="000000"/>
            </w:tcBorders>
            <w:noWrap/>
            <w:vAlign w:val="top"/>
            <w:gridSpan w:val="5"/>
          </w:tcPr>
          <w:p>
            <w:pPr>
              <w:spacing w:after="120" w:line="240" w:lineRule="auto"/>
              <w:rPr>
                <w:rFonts w:ascii="Arial" w:hAnsi="Arial" w:cs="Arial"/>
                <w:sz w:val="16"/>
              </w:rPr>
            </w:pPr>
            <w:r>
              <w:rPr>
                <w:rFonts w:ascii="Arial" w:hAnsi="Arial" w:cs="Arial"/>
                <w:sz w:val="16"/>
              </w:rPr>
              <w:t xml:space="preserve">(Resta d'obra)</w:t>
            </w:r>
          </w:p>
        </w:tc>
        <w:tc>
          <w:tcPr>
            <w:tcW w:w="1020" w:type="dxa"/>
            <w:tcBorders>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0,21</w:t>
            </w:r>
          </w:p>
        </w:tc>
        <w:tc>
          <w:tcPr>
            <w:tcW w:w="114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797" w:type="dxa"/>
            <w:tcBorders>
              <w:bottom w:val="single" w:sz="2" w:space="0" w:color="000000"/>
              <w:left w:val="single" w:sz="2" w:space="0" w:color="000000"/>
              <w:right w:val="single" w:sz="2" w:space="0" w:color="000000"/>
            </w:tcBorders>
            <w:noWrap/>
            <w:vAlign w:val="top"/>
            <w:gridSpan w:val="5"/>
          </w:tcPr>
          <w:p>
            <w:pPr>
              <w:spacing w:after="120" w:line="240" w:lineRule="auto"/>
              <w:rPr>
                <w:rFonts w:ascii="Courier New" w:hAnsi="Courier New" w:cs="Courier New"/>
                <w:sz w:val="16"/>
              </w:rPr>
            </w:pPr>
            <w:r>
              <w:rPr>
                <w:rFonts w:ascii="Courier New" w:hAnsi="Courier New" w:cs="Courier New"/>
                <w:sz w:val="16"/>
              </w:rPr>
              <w:t xml:space="preserve">3% Costos indirectes</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0,64</w:t>
            </w:r>
          </w:p>
        </w:tc>
        <w:tc>
          <w:tcPr>
            <w:tcW w:w="114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1140" w:type="dxa"/>
            <w:tcBorders>
              <w:top w:val="single" w:sz="2" w:space="0" w:color="000000"/>
              <w:left w:val="single" w:sz="2" w:space="0" w:color="000000"/>
              <w:right w:val="single" w:sz="2" w:space="0" w:color="000000"/>
            </w:tcBorders>
            <w:noWrap/>
            <w:vAlign w:val="top"/>
          </w:tcPr>
          <w:p>
            <w:pPr>
              <w:spacing w:after="120" w:line="240" w:lineRule="auto"/>
              <w:jc w:val="right"/>
              <w:rPr>
                <w:rFonts w:ascii="Arial" w:hAnsi="Arial" w:cs="Arial"/>
                <w:sz w:val="16"/>
              </w:rPr>
            </w:pPr>
            <w:r>
              <w:rPr>
                <w:rFonts w:ascii="Arial" w:hAnsi="Arial" w:cs="Arial"/>
                <w:sz w:val="16"/>
              </w:rPr>
              <w:t xml:space="preserve">22,02</w:t>
            </w:r>
          </w:p>
        </w:tc>
      </w:tr>
      <w:tr>
        <w:trPr>
          <w:cantSplit/>
        </w:trPr>
        <w:tc>
          <w:tcPr>
            <w:tcW w:w="850" w:type="dxa"/>
            <w:tcMar>
              <w:top w:w="17" w:type="dxa"/>
              <w:left w:w="6" w:type="dxa"/>
              <w:bottom w:w="23" w:type="dxa"/>
              <w:right w:w="11" w:type="dxa"/>
            </w:tcMar>
            <w:vAlign w:val="center"/>
          </w:tcPr>
          <w:p>
            <w:pPr>
              <w:spacing w:after="0" w:line="240" w:lineRule="auto"/>
              <w:rPr>
                <w:rFonts w:ascii="Verdana" w:hAnsi="Verdana" w:cs="Verdana"/>
                <w:sz w:val="24"/>
              </w:rPr>
            </w:pPr>
            <w:r>
              <w:rPr>
                <w:rFonts w:ascii="Verdana" w:hAnsi="Verdana" w:cs="Verdana"/>
                <w:sz w:val="24"/>
              </w:rPr>
              <w:t xml:space="preserve"> </w:t>
            </w:r>
          </w:p>
        </w:tc>
        <w:tc>
          <w:tcPr>
            <w:tcW w:w="6111" w:type="dxa"/>
            <w:vAlign w:val="top"/>
            <w:gridSpan w:val="4"/>
          </w:tcPr>
          <w:p>
            <w:pPr>
              <w:spacing w:after="0" w:line="240" w:lineRule="auto"/>
              <w:jc w:val="center"/>
              <w:rPr>
                <w:rFonts w:ascii="Courier New" w:hAnsi="Courier New" w:cs="Courier New"/>
                <w:sz w:val="20"/>
              </w:rPr>
            </w:pPr>
            <w:r>
              <w:rPr>
                <w:rFonts w:ascii="Courier New" w:hAnsi="Courier New" w:cs="Courier New"/>
                <w:sz w:val="20"/>
              </w:rPr>
              <w:t xml:space="preserve">Barcelona, març de 2021</w:t>
            </w:r>
          </w:p>
        </w:tc>
        <w:tc>
          <w:tcPr>
            <w:tcW w:w="2846" w:type="dxa"/>
            <w:vAlign w:val="top"/>
            <w:gridSpan w:val="3"/>
          </w:tcPr>
          <w:p>
            <w:pPr>
              <w:spacing w:after="0" w:line="240" w:lineRule="auto"/>
              <w:jc w:val="center"/>
              <w:rPr>
                <w:rFonts w:ascii="Courier New" w:hAnsi="Courier New" w:cs="Courier New"/>
                <w:sz w:val="20"/>
              </w:rPr>
            </w:pPr>
            <w:r>
              <w:rPr>
                <w:rFonts w:ascii="Courier New" w:hAnsi="Courier New" w:cs="Courier New"/>
                <w:sz w:val="20"/>
              </w:rPr>
              <w:t xml:space="preserve"> </w:t>
            </w:r>
          </w:p>
        </w:tc>
      </w:tr>
    </w:tbl>
    <w:p>
      <w:pPr>
        <w:spacing w:after="0" w:line="2" w:lineRule="auto"/>
      </w:pPr>
    </w:p>
    <w:p>
      <w:pPr>
        <w:spacing w:after="0" w:line="2" w:lineRule="auto"/>
        <w:sectPr>
          <w:headerReference w:type="even" r:id="header1"/>
          <w:headerReference w:type="default" r:id="header1"/>
          <w:footerReference w:type="even" r:id="footer1"/>
          <w:footerReference w:type="default" r:id="footer1"/>
          <w:pgSz w:w="11906" w:h="16838" w:orient="portrait"/>
          <w:pgMar w:top="907" w:left="907" w:bottom="907" w:right="907" w:header="907" w:footer="907" w:gutter="283"/>
          <w:cols w:space="708"/>
          <w:docGrid w:linePitch="360"/>
        </w:sectPr>
      </w:pPr>
    </w:p>
    <w:sectPr>
      <w:pgSz w:w="11906" w:h="16838" w:orient="portrait"/>
      <w:pgMar w:top="907" w:left="907" w:bottom="907" w:right="907" w:header="907" w:footer="907" w:gutter="283"/>
      <w:cols w:space="708"/>
      <w:docGrid w:linePitch="360"/>
    </w:sectPr>
  </w:body>
</w:document>
</file>

<file path=word/fontTable.xml><?xml version="1.0" encoding="utf-8"?>
<w:fonts xmlns:r="http://schemas.openxmlformats.org/officeDocument/2006/relationships" xmlns:w="http://schemas.openxmlformats.org/wordprocessingml/2006/main"/>
</file>

<file path=word/footer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08" w:type="dxa"/>
      <w:jc w:val="left"/>
      <w:tblCellMar>
        <w:top w:w="28" w:type="dxa"/>
        <w:left w:w="28" w:type="dxa"/>
        <w:bottom w:w="28" w:type="dxa"/>
        <w:right w:w="28" w:type="dxa"/>
      </w:tblCellMar>
      <w:tblLook w:val="0000"/>
    </w:tblPr>
    <w:tblGrid>
      <w:gridCol w:w="850"/>
      <w:gridCol w:w="4116"/>
      <w:gridCol w:w="1094"/>
      <w:gridCol w:w="527"/>
      <w:gridCol w:w="374"/>
      <w:gridCol w:w="686"/>
      <w:gridCol w:w="1020"/>
      <w:gridCol w:w="1140"/>
    </w:tblGrid>
    <w:tr>
      <w:trPr>
        <w:cantSplit/>
      </w:trPr>
      <w:tc>
        <w:tcPr>
          <w:tcW w:w="8668" w:type="dxa"/>
          <w:tcBorders>
            <w:top w:val="single" w:sz="2" w:space="0" w:color="000000"/>
          </w:tcBorders>
          <w:noWrap/>
          <w:vAlign w:val="top"/>
          <w:gridSpan w:val="7"/>
        </w:tcPr>
        <w:p>
          <w:pPr>
            <w:spacing w:after="120" w:line="240" w:lineRule="auto"/>
            <w:rPr>
              <w:rFonts w:ascii="Courier New" w:hAnsi="Courier New" w:cs="Courier New"/>
              <w:sz w:val="16"/>
            </w:rPr>
          </w:pPr>
          <w:r>
            <w:rPr>
              <w:rFonts w:ascii="Courier New" w:hAnsi="Courier New" w:cs="Courier New"/>
              <w:sz w:val="16"/>
            </w:rPr>
            <w:t xml:space="preserve">Amidaments manterniment façana</w:t>
          </w:r>
        </w:p>
      </w:tc>
      <w:tc>
        <w:tcPr>
          <w:tcW w:w="1140" w:type="dxa"/>
          <w:tcBorders>
            <w:top w:val="single" w:sz="2" w:space="0" w:color="000000"/>
          </w:tcBorders>
          <w:noWrap/>
          <w:vAlign w:val="top"/>
        </w:tcPr>
        <w:p>
          <w:pPr>
            <w:spacing w:after="0" w:line="240" w:lineRule="auto"/>
            <w:rPr>
              <w:rFonts w:ascii="Verdana" w:hAnsi="Verdana" w:cs="Verdana"/>
              <w:sz w:val="18"/>
            </w:rPr>
          </w:pPr>
          <w:r>
            <w:rPr>
              <w:rFonts w:ascii="Courier New" w:hAnsi="Courier New" w:cs="Courier New"/>
              <w:sz w:val="16"/>
            </w:rPr>
            <w:t xml:space="preserve">Pàgina  </w:t>
          </w:r>
          <w:fldSimple w:instr=" PAGE \* MERGEFORMAT ">
            <w:r>
              <w:rPr>
                <w:rFonts w:ascii="Courier New" w:hAnsi="Courier New" w:cs="Courier New"/>
                <w:sz w:val="16"/>
              </w:rPr>
              <w:t>___</w:t>
            </w:r>
          </w:fldSimple>
        </w:p>
      </w:tc>
    </w:tr>
  </w:tbl>
  <w:p>
    <w:pPr>
      <w:spacing w:after="0" w:line="2" w:lineRule="auto"/>
    </w:pPr>
  </w:p>
</w:ftr>
</file>

<file path=word/header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08" w:type="dxa"/>
      <w:jc w:val="left"/>
      <w:tblCellMar>
        <w:top w:w="28" w:type="dxa"/>
        <w:left w:w="28" w:type="dxa"/>
        <w:bottom w:w="28" w:type="dxa"/>
        <w:right w:w="28" w:type="dxa"/>
      </w:tblCellMar>
      <w:tblLook w:val="0000"/>
    </w:tblPr>
    <w:tblGrid>
      <w:gridCol w:w="850"/>
      <w:gridCol w:w="4116"/>
      <w:gridCol w:w="1094"/>
      <w:gridCol w:w="527"/>
      <w:gridCol w:w="374"/>
      <w:gridCol w:w="686"/>
      <w:gridCol w:w="1020"/>
      <w:gridCol w:w="1140"/>
    </w:tblGrid>
    <w:tr>
      <w:trPr>
        <w:cantSplit/>
      </w:trPr>
      <w:tc>
        <w:tcPr>
          <w:tcW w:w="9808" w:type="dxa"/>
          <w:tcBorders>
            <w:top w:val="single" w:sz="2" w:space="0" w:color="000000"/>
            <w:bottom w:val="single" w:sz="2" w:space="0" w:color="000000"/>
            <w:left w:val="single" w:sz="2" w:space="0" w:color="000000"/>
            <w:right w:val="single" w:sz="2" w:space="0" w:color="000000"/>
          </w:tcBorders>
          <w:noWrap/>
          <w:vAlign w:val="top"/>
          <w:gridSpan w:val="8"/>
        </w:tcPr>
        <w:p>
          <w:pPr>
            <w:spacing w:after="120" w:line="240" w:lineRule="auto"/>
            <w:jc w:val="center"/>
            <w:rPr>
              <w:rFonts w:ascii="Arial" w:hAnsi="Arial" w:cs="Arial"/>
              <w:sz w:val="24"/>
            </w:rPr>
          </w:pPr>
          <w:r>
            <w:rPr>
              <w:rFonts w:ascii="Arial" w:hAnsi="Arial" w:cs="Arial"/>
              <w:sz w:val="24"/>
            </w:rPr>
            <w:t xml:space="preserve">Quadre de preus nº 2</w:t>
          </w:r>
        </w:p>
      </w:tc>
    </w:tr>
    <w:tr>
      <w:trPr>
        <w:cantSplit/>
      </w:trPr>
      <w:tc>
        <w:tcPr>
          <w:tcW w:w="85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18"/>
            </w:rPr>
          </w:pPr>
          <w:r>
            <w:rPr>
              <w:rFonts w:ascii="Verdana" w:hAnsi="Verdana" w:cs="Verdana"/>
              <w:sz w:val="18"/>
            </w:rPr>
            <w:t xml:space="preserve"> </w:t>
          </w:r>
        </w:p>
      </w:tc>
      <w:tc>
        <w:tcPr>
          <w:tcW w:w="4116" w:type="dxa"/>
          <w:tcBorders>
            <w:top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18"/>
            </w:rPr>
          </w:pPr>
          <w:r>
            <w:rPr>
              <w:rFonts w:ascii="Verdana" w:hAnsi="Verdana" w:cs="Verdana"/>
              <w:sz w:val="18"/>
            </w:rPr>
            <w:t xml:space="preserve"> </w:t>
          </w:r>
        </w:p>
      </w:tc>
      <w:tc>
        <w:tcPr>
          <w:tcW w:w="109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18"/>
            </w:rPr>
          </w:pPr>
          <w:r>
            <w:rPr>
              <w:rFonts w:ascii="Verdana" w:hAnsi="Verdana" w:cs="Verdana"/>
              <w:sz w:val="18"/>
            </w:rPr>
            <w:t xml:space="preserve"> </w:t>
          </w:r>
        </w:p>
      </w:tc>
      <w:tc>
        <w:tcPr>
          <w:tcW w:w="527"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18"/>
            </w:rPr>
          </w:pPr>
          <w:r>
            <w:rPr>
              <w:rFonts w:ascii="Verdana" w:hAnsi="Verdana" w:cs="Verdana"/>
              <w:sz w:val="18"/>
            </w:rPr>
            <w:t xml:space="preserve"> </w:t>
          </w:r>
        </w:p>
      </w:tc>
      <w:tc>
        <w:tcPr>
          <w:tcW w:w="374" w:type="dxa"/>
          <w:tcBorders>
            <w:top w:val="single" w:sz="2" w:space="0" w:color="000000"/>
          </w:tcBorders>
          <w:tcMar>
            <w:top w:w="17" w:type="dxa"/>
            <w:left w:w="6" w:type="dxa"/>
            <w:bottom w:w="23" w:type="dxa"/>
            <w:right w:w="11" w:type="dxa"/>
          </w:tcMar>
          <w:vAlign w:val="center"/>
        </w:tcPr>
        <w:p>
          <w:pPr>
            <w:spacing w:after="0" w:line="240" w:lineRule="auto"/>
            <w:rPr>
              <w:rFonts w:ascii="Verdana" w:hAnsi="Verdana" w:cs="Verdana"/>
              <w:sz w:val="18"/>
            </w:rPr>
          </w:pPr>
          <w:r>
            <w:rPr>
              <w:rFonts w:ascii="Verdana" w:hAnsi="Verdana" w:cs="Verdana"/>
              <w:sz w:val="18"/>
            </w:rPr>
            <w:t xml:space="preserve"> </w:t>
          </w:r>
        </w:p>
      </w:tc>
      <w:tc>
        <w:tcPr>
          <w:tcW w:w="686" w:type="dxa"/>
          <w:tcBorders>
            <w:top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18"/>
            </w:rPr>
          </w:pPr>
          <w:r>
            <w:rPr>
              <w:rFonts w:ascii="Verdana" w:hAnsi="Verdana" w:cs="Verdana"/>
              <w:sz w:val="18"/>
            </w:rPr>
            <w:t xml:space="preserve"> </w:t>
          </w:r>
        </w:p>
      </w:tc>
      <w:tc>
        <w:tcPr>
          <w:tcW w:w="2160" w:type="dxa"/>
          <w:tcBorders>
            <w:top w:val="single" w:sz="2" w:space="0" w:color="000000"/>
            <w:bottom w:val="single" w:sz="2" w:space="0" w:color="000000"/>
            <w:left w:val="single" w:sz="2" w:space="0" w:color="000000"/>
            <w:right w:val="single" w:sz="2" w:space="0" w:color="000000"/>
          </w:tcBorders>
          <w:noWrap/>
          <w:vAlign w:val="top"/>
          <w:gridSpan w:val="2"/>
        </w:tcPr>
        <w:p>
          <w:pPr>
            <w:spacing w:after="120" w:line="240" w:lineRule="auto"/>
            <w:jc w:val="center"/>
            <w:rPr>
              <w:rFonts w:ascii="Arial" w:hAnsi="Arial" w:cs="Arial"/>
              <w:sz w:val="20"/>
            </w:rPr>
          </w:pPr>
          <w:r>
            <w:rPr>
              <w:rFonts w:ascii="Arial" w:hAnsi="Arial" w:cs="Arial"/>
              <w:sz w:val="20"/>
            </w:rPr>
            <w:t xml:space="preserve">Import</w:t>
          </w:r>
        </w:p>
      </w:tc>
    </w:tr>
    <w:tr>
      <w:trPr>
        <w:cantSplit/>
      </w:trPr>
      <w:tc>
        <w:tcPr>
          <w:tcW w:w="850" w:type="dxa"/>
          <w:tcBorders>
            <w:left w:val="single" w:sz="2" w:space="0" w:color="000000"/>
            <w:right w:val="single" w:sz="2" w:space="0" w:color="000000"/>
          </w:tcBorders>
          <w:noWrap/>
          <w:vAlign w:val="top"/>
        </w:tcPr>
        <w:p>
          <w:pPr>
            <w:spacing w:after="120" w:line="240" w:lineRule="auto"/>
            <w:jc w:val="center"/>
            <w:rPr>
              <w:rFonts w:ascii="Arial" w:hAnsi="Arial" w:cs="Arial"/>
              <w:sz w:val="20"/>
            </w:rPr>
          </w:pPr>
          <w:r>
            <w:rPr>
              <w:rFonts w:ascii="Arial" w:hAnsi="Arial" w:cs="Arial"/>
              <w:sz w:val="20"/>
            </w:rPr>
            <w:t xml:space="preserve">Nº</w:t>
          </w:r>
        </w:p>
      </w:tc>
      <w:tc>
        <w:tcPr>
          <w:tcW w:w="6797" w:type="dxa"/>
          <w:tcBorders>
            <w:left w:val="single" w:sz="2" w:space="0" w:color="000000"/>
            <w:right w:val="single" w:sz="2" w:space="0" w:color="000000"/>
          </w:tcBorders>
          <w:noWrap/>
          <w:vAlign w:val="top"/>
          <w:gridSpan w:val="5"/>
        </w:tcPr>
        <w:p>
          <w:pPr>
            <w:spacing w:after="120" w:line="240" w:lineRule="auto"/>
            <w:jc w:val="center"/>
            <w:rPr>
              <w:rFonts w:ascii="Arial" w:hAnsi="Arial" w:cs="Arial"/>
              <w:sz w:val="20"/>
            </w:rPr>
          </w:pPr>
          <w:r>
            <w:rPr>
              <w:rFonts w:ascii="Arial" w:hAnsi="Arial" w:cs="Arial"/>
              <w:sz w:val="20"/>
            </w:rPr>
            <w:t xml:space="preserve">Designació</w:t>
          </w:r>
        </w:p>
      </w:tc>
      <w:tc>
        <w:tcPr>
          <w:tcW w:w="102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18"/>
            </w:rPr>
          </w:pPr>
          <w:r>
            <w:rPr>
              <w:rFonts w:ascii="Verdana" w:hAnsi="Verdana" w:cs="Verdana"/>
              <w:sz w:val="18"/>
            </w:rPr>
            <w:t xml:space="preserve"> </w:t>
          </w:r>
        </w:p>
      </w:tc>
      <w:tc>
        <w:tcPr>
          <w:tcW w:w="1140" w:type="dxa"/>
          <w:tcBorders>
            <w:top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18"/>
            </w:rPr>
          </w:pPr>
          <w:r>
            <w:rPr>
              <w:rFonts w:ascii="Verdana" w:hAnsi="Verdana" w:cs="Verdana"/>
              <w:sz w:val="18"/>
            </w:rPr>
            <w:t xml:space="preserve"> </w:t>
          </w:r>
        </w:p>
      </w:tc>
    </w:tr>
    <w:tr>
      <w:trPr>
        <w:cantSplit/>
      </w:trPr>
      <w:tc>
        <w:tcPr>
          <w:tcW w:w="850" w:type="dxa"/>
          <w:tcBorders>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18"/>
            </w:rPr>
          </w:pPr>
          <w:r>
            <w:rPr>
              <w:rFonts w:ascii="Verdana" w:hAnsi="Verdana" w:cs="Verdana"/>
              <w:sz w:val="18"/>
            </w:rPr>
            <w:t xml:space="preserve"> </w:t>
          </w:r>
        </w:p>
      </w:tc>
      <w:tc>
        <w:tcPr>
          <w:tcW w:w="4116" w:type="dxa"/>
          <w:tcBorders>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18"/>
            </w:rPr>
          </w:pPr>
          <w:r>
            <w:rPr>
              <w:rFonts w:ascii="Verdana" w:hAnsi="Verdana" w:cs="Verdana"/>
              <w:sz w:val="18"/>
            </w:rPr>
            <w:t xml:space="preserve"> </w:t>
          </w:r>
        </w:p>
      </w:tc>
      <w:tc>
        <w:tcPr>
          <w:tcW w:w="1094" w:type="dxa"/>
          <w:tcMar>
            <w:top w:w="17" w:type="dxa"/>
            <w:left w:w="6" w:type="dxa"/>
            <w:bottom w:w="23" w:type="dxa"/>
            <w:right w:w="11" w:type="dxa"/>
          </w:tcMar>
          <w:vAlign w:val="center"/>
        </w:tcPr>
        <w:p>
          <w:pPr>
            <w:spacing w:after="0" w:line="240" w:lineRule="auto"/>
            <w:rPr>
              <w:rFonts w:ascii="Verdana" w:hAnsi="Verdana" w:cs="Verdana"/>
              <w:sz w:val="18"/>
            </w:rPr>
          </w:pPr>
          <w:r>
            <w:rPr>
              <w:rFonts w:ascii="Verdana" w:hAnsi="Verdana" w:cs="Verdana"/>
              <w:sz w:val="18"/>
            </w:rPr>
            <w:t xml:space="preserve"> </w:t>
          </w:r>
        </w:p>
      </w:tc>
      <w:tc>
        <w:tcPr>
          <w:tcW w:w="527" w:type="dxa"/>
          <w:tcMar>
            <w:top w:w="17" w:type="dxa"/>
            <w:left w:w="6" w:type="dxa"/>
            <w:bottom w:w="23" w:type="dxa"/>
            <w:right w:w="11" w:type="dxa"/>
          </w:tcMar>
          <w:vAlign w:val="center"/>
        </w:tcPr>
        <w:p>
          <w:pPr>
            <w:spacing w:after="0" w:line="240" w:lineRule="auto"/>
            <w:rPr>
              <w:rFonts w:ascii="Verdana" w:hAnsi="Verdana" w:cs="Verdana"/>
              <w:sz w:val="18"/>
            </w:rPr>
          </w:pPr>
          <w:r>
            <w:rPr>
              <w:rFonts w:ascii="Verdana" w:hAnsi="Verdana" w:cs="Verdana"/>
              <w:sz w:val="18"/>
            </w:rPr>
            <w:t xml:space="preserve"> </w:t>
          </w:r>
        </w:p>
      </w:tc>
      <w:tc>
        <w:tcPr>
          <w:tcW w:w="374" w:type="dxa"/>
          <w:tcMar>
            <w:top w:w="17" w:type="dxa"/>
            <w:left w:w="6" w:type="dxa"/>
            <w:bottom w:w="23" w:type="dxa"/>
            <w:right w:w="11" w:type="dxa"/>
          </w:tcMar>
          <w:vAlign w:val="center"/>
        </w:tcPr>
        <w:p>
          <w:pPr>
            <w:spacing w:after="0" w:line="240" w:lineRule="auto"/>
            <w:rPr>
              <w:rFonts w:ascii="Verdana" w:hAnsi="Verdana" w:cs="Verdana"/>
              <w:sz w:val="18"/>
            </w:rPr>
          </w:pPr>
          <w:r>
            <w:rPr>
              <w:rFonts w:ascii="Verdana" w:hAnsi="Verdana" w:cs="Verdana"/>
              <w:sz w:val="18"/>
            </w:rPr>
            <w:t xml:space="preserve"> </w:t>
          </w:r>
        </w:p>
      </w:tc>
      <w:tc>
        <w:tcPr>
          <w:tcW w:w="686" w:type="dxa"/>
          <w:tcBorders>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18"/>
            </w:rPr>
          </w:pPr>
          <w:r>
            <w:rPr>
              <w:rFonts w:ascii="Verdana" w:hAnsi="Verdana" w:cs="Verdana"/>
              <w:sz w:val="18"/>
            </w:rPr>
            <w:t xml:space="preserve"> </w:t>
          </w:r>
        </w:p>
      </w:tc>
      <w:tc>
        <w:tcPr>
          <w:tcW w:w="102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Parcial</w:t>
          </w:r>
        </w:p>
      </w:tc>
      <w:tc>
        <w:tcPr>
          <w:tcW w:w="1140" w:type="dxa"/>
          <w:tcBorders>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Total</w:t>
          </w:r>
        </w:p>
      </w:tc>
    </w:tr>
    <w:tr>
      <w:trPr>
        <w:cantSplit/>
      </w:trPr>
      <w:tc>
        <w:tcPr>
          <w:tcW w:w="850" w:type="dxa"/>
          <w:tcBorders>
            <w:bottom w:val="single" w:sz="2" w:space="0" w:color="000000"/>
            <w:left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18"/>
            </w:rPr>
          </w:pPr>
          <w:r>
            <w:rPr>
              <w:rFonts w:ascii="Verdana" w:hAnsi="Verdana" w:cs="Verdana"/>
              <w:sz w:val="18"/>
            </w:rPr>
            <w:t xml:space="preserve"> </w:t>
          </w:r>
        </w:p>
      </w:tc>
      <w:tc>
        <w:tcPr>
          <w:tcW w:w="4116" w:type="dxa"/>
          <w:tcBorders>
            <w:bottom w:val="single" w:sz="2" w:space="0" w:color="000000"/>
            <w:left w:val="single" w:sz="2" w:space="0" w:color="000000"/>
          </w:tcBorders>
          <w:tcMar>
            <w:top w:w="17" w:type="dxa"/>
            <w:left w:w="6" w:type="dxa"/>
            <w:bottom w:w="23" w:type="dxa"/>
            <w:right w:w="11" w:type="dxa"/>
          </w:tcMar>
          <w:vAlign w:val="center"/>
        </w:tcPr>
        <w:p>
          <w:pPr>
            <w:spacing w:after="0" w:line="240" w:lineRule="auto"/>
            <w:rPr>
              <w:rFonts w:ascii="Verdana" w:hAnsi="Verdana" w:cs="Verdana"/>
              <w:sz w:val="18"/>
            </w:rPr>
          </w:pPr>
          <w:r>
            <w:rPr>
              <w:rFonts w:ascii="Verdana" w:hAnsi="Verdana" w:cs="Verdana"/>
              <w:sz w:val="18"/>
            </w:rPr>
            <w:t xml:space="preserve"> </w:t>
          </w:r>
        </w:p>
      </w:tc>
      <w:tc>
        <w:tcPr>
          <w:tcW w:w="1094" w:type="dxa"/>
          <w:tcBorders>
            <w:bottom w:val="single" w:sz="2" w:space="0" w:color="000000"/>
          </w:tcBorders>
          <w:tcMar>
            <w:top w:w="17" w:type="dxa"/>
            <w:left w:w="6" w:type="dxa"/>
            <w:bottom w:w="23" w:type="dxa"/>
            <w:right w:w="11" w:type="dxa"/>
          </w:tcMar>
          <w:vAlign w:val="center"/>
        </w:tcPr>
        <w:p>
          <w:pPr>
            <w:spacing w:after="0" w:line="240" w:lineRule="auto"/>
            <w:rPr>
              <w:rFonts w:ascii="Verdana" w:hAnsi="Verdana" w:cs="Verdana"/>
              <w:sz w:val="18"/>
            </w:rPr>
          </w:pPr>
          <w:r>
            <w:rPr>
              <w:rFonts w:ascii="Verdana" w:hAnsi="Verdana" w:cs="Verdana"/>
              <w:sz w:val="18"/>
            </w:rPr>
            <w:t xml:space="preserve"> </w:t>
          </w:r>
        </w:p>
      </w:tc>
      <w:tc>
        <w:tcPr>
          <w:tcW w:w="527" w:type="dxa"/>
          <w:tcBorders>
            <w:bottom w:val="single" w:sz="2" w:space="0" w:color="000000"/>
          </w:tcBorders>
          <w:tcMar>
            <w:top w:w="17" w:type="dxa"/>
            <w:left w:w="6" w:type="dxa"/>
            <w:bottom w:w="23" w:type="dxa"/>
            <w:right w:w="11" w:type="dxa"/>
          </w:tcMar>
          <w:vAlign w:val="center"/>
        </w:tcPr>
        <w:p>
          <w:pPr>
            <w:spacing w:after="0" w:line="240" w:lineRule="auto"/>
            <w:rPr>
              <w:rFonts w:ascii="Verdana" w:hAnsi="Verdana" w:cs="Verdana"/>
              <w:sz w:val="18"/>
            </w:rPr>
          </w:pPr>
          <w:r>
            <w:rPr>
              <w:rFonts w:ascii="Verdana" w:hAnsi="Verdana" w:cs="Verdana"/>
              <w:sz w:val="18"/>
            </w:rPr>
            <w:t xml:space="preserve"> </w:t>
          </w:r>
        </w:p>
      </w:tc>
      <w:tc>
        <w:tcPr>
          <w:tcW w:w="374" w:type="dxa"/>
          <w:tcBorders>
            <w:bottom w:val="single" w:sz="2" w:space="0" w:color="000000"/>
          </w:tcBorders>
          <w:tcMar>
            <w:top w:w="17" w:type="dxa"/>
            <w:left w:w="6" w:type="dxa"/>
            <w:bottom w:w="23" w:type="dxa"/>
            <w:right w:w="11" w:type="dxa"/>
          </w:tcMar>
          <w:vAlign w:val="center"/>
        </w:tcPr>
        <w:p>
          <w:pPr>
            <w:spacing w:after="0" w:line="240" w:lineRule="auto"/>
            <w:rPr>
              <w:rFonts w:ascii="Verdana" w:hAnsi="Verdana" w:cs="Verdana"/>
              <w:sz w:val="18"/>
            </w:rPr>
          </w:pPr>
          <w:r>
            <w:rPr>
              <w:rFonts w:ascii="Verdana" w:hAnsi="Verdana" w:cs="Verdana"/>
              <w:sz w:val="18"/>
            </w:rPr>
            <w:t xml:space="preserve"> </w:t>
          </w:r>
        </w:p>
      </w:tc>
      <w:tc>
        <w:tcPr>
          <w:tcW w:w="686" w:type="dxa"/>
          <w:tcBorders>
            <w:bottom w:val="single" w:sz="2" w:space="0" w:color="000000"/>
            <w:right w:val="single" w:sz="2" w:space="0" w:color="000000"/>
          </w:tcBorders>
          <w:tcMar>
            <w:top w:w="17" w:type="dxa"/>
            <w:left w:w="6" w:type="dxa"/>
            <w:bottom w:w="23" w:type="dxa"/>
            <w:right w:w="11" w:type="dxa"/>
          </w:tcMar>
          <w:vAlign w:val="center"/>
        </w:tcPr>
        <w:p>
          <w:pPr>
            <w:spacing w:after="0" w:line="240" w:lineRule="auto"/>
            <w:rPr>
              <w:rFonts w:ascii="Verdana" w:hAnsi="Verdana" w:cs="Verdana"/>
              <w:sz w:val="18"/>
            </w:rPr>
          </w:pPr>
          <w:r>
            <w:rPr>
              <w:rFonts w:ascii="Verdana" w:hAnsi="Verdana" w:cs="Verdana"/>
              <w:sz w:val="18"/>
            </w:rPr>
            <w:t xml:space="preserve"> </w:t>
          </w:r>
        </w:p>
      </w:tc>
      <w:tc>
        <w:tcPr>
          <w:tcW w:w="1020" w:type="dxa"/>
          <w:tcBorders>
            <w:bottom w:val="single" w:sz="2" w:space="0" w:color="000000"/>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(Euros)</w:t>
          </w:r>
        </w:p>
      </w:tc>
      <w:tc>
        <w:tcPr>
          <w:tcW w:w="1140" w:type="dxa"/>
          <w:tcBorders>
            <w:bottom w:val="single" w:sz="2" w:space="0" w:color="000000"/>
            <w:left w:val="single" w:sz="2" w:space="0" w:color="000000"/>
            <w:right w:val="single" w:sz="2" w:space="0" w:color="000000"/>
          </w:tcBorders>
          <w:noWrap/>
          <w:vAlign w:val="top"/>
        </w:tcPr>
        <w:p>
          <w:pPr>
            <w:spacing w:after="120" w:line="240" w:lineRule="auto"/>
            <w:jc w:val="center"/>
            <w:rPr>
              <w:rFonts w:ascii="Arial" w:hAnsi="Arial" w:cs="Arial"/>
              <w:sz w:val="16"/>
            </w:rPr>
          </w:pPr>
          <w:r>
            <w:rPr>
              <w:rFonts w:ascii="Arial" w:hAnsi="Arial" w:cs="Arial"/>
              <w:sz w:val="16"/>
            </w:rPr>
            <w:t xml:space="preserve">(Euros)</w:t>
          </w:r>
        </w:p>
      </w:tc>
    </w:tr>
  </w:tbl>
  <w:p>
    <w:pPr>
      <w:spacing w:after="0" w:line="2" w:lineRule="aut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evenAndOddHeaders/>
</w:settings>
</file>

<file path=word/styles.xml><?xml version="1.0" encoding="utf-8"?>
<w:styles xmlns:r="http://schemas.openxmlformats.org/officeDocument/2006/relationships" xmlns:w="http://schemas.openxmlformats.org/wordprocessingml/2006/main">
  <w:style w:type="paragraph" w:default="1" w:styleId="Normal">
    <w:name w:val="Normal"/>
    <w:qFormat/>
    <w:rsid w:val="00174D7E"/>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ettings" Target="settings.xml"/><Relationship Id="header0" Type="http://schemas.openxmlformats.org/officeDocument/2006/relationships/header" Target="header0.xml"/><Relationship Id="header1" Type="http://schemas.openxmlformats.org/officeDocument/2006/relationships/header" Target="header1.xml"/><Relationship Id="footer0" Type="http://schemas.openxmlformats.org/officeDocument/2006/relationships/footer" Target="footer0.xml"/><Relationship Id="footer1" Type="http://schemas.openxmlformats.org/officeDocument/2006/relationships/footer" Target="footer1.xml"/></Relationships>
</file>

<file path=word/_rels/footer0.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header0.xml.rels><?xml version="1.0" encoding="utf-8" standalone="yes"?>
<Relationships xmlns="http://schemas.openxmlformats.org/package/2006/relationships"></Relationships>
</file>

<file path=word/_rels/header1.xml.rels><?xml version="1.0" encoding="utf-8" standalone="yes"?>
<Relationships xmlns="http://schemas.openxmlformats.org/package/2006/relationships"></Relationships>
</file>