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3F5EBD" w:rsidRPr="003F5EBD">
              <w:rPr>
                <w:rFonts w:cs="Arial"/>
                <w:sz w:val="22"/>
              </w:rPr>
              <w:t>23/0178-00-CP/01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3F5EBD" w:rsidRPr="003F5EBD">
              <w:rPr>
                <w:rFonts w:cs="Arial"/>
                <w:sz w:val="22"/>
              </w:rPr>
              <w:t>Contractació del subministrament i instal·lació de sistema de generació d'ombra autoportant i traslladable per a dues àrees de jocs infantils</w:t>
            </w:r>
            <w:bookmarkStart w:id="0" w:name="_GoBack"/>
            <w:bookmarkEnd w:id="0"/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3F5EBD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844A8"/>
    <w:rsid w:val="00295D50"/>
    <w:rsid w:val="002E7CBE"/>
    <w:rsid w:val="00360052"/>
    <w:rsid w:val="003F5EBD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21</cp:revision>
  <dcterms:created xsi:type="dcterms:W3CDTF">2021-04-07T10:55:00Z</dcterms:created>
  <dcterms:modified xsi:type="dcterms:W3CDTF">2023-06-07T10:00:00Z</dcterms:modified>
</cp:coreProperties>
</file>