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119" w:type="dxa"/>
        <w:tblInd w:w="-923" w:type="dxa"/>
        <w:tblLayout w:type="fixed"/>
        <w:tblCellMar>
          <w:left w:w="70" w:type="dxa"/>
          <w:right w:w="70" w:type="dxa"/>
        </w:tblCellMar>
        <w:tblLook w:val="0000" w:firstRow="0" w:lastRow="0" w:firstColumn="0" w:lastColumn="0" w:noHBand="0" w:noVBand="0"/>
      </w:tblPr>
      <w:tblGrid>
        <w:gridCol w:w="284"/>
        <w:gridCol w:w="6449"/>
        <w:gridCol w:w="2976"/>
        <w:gridCol w:w="2410"/>
      </w:tblGrid>
      <w:tr w:rsidR="00B11A75" w:rsidTr="000634B2">
        <w:trPr>
          <w:gridAfter w:val="1"/>
          <w:wAfter w:w="2410" w:type="dxa"/>
          <w:cantSplit/>
        </w:trPr>
        <w:tc>
          <w:tcPr>
            <w:tcW w:w="6733" w:type="dxa"/>
            <w:gridSpan w:val="2"/>
          </w:tcPr>
          <w:p w:rsidR="00B11A75" w:rsidRDefault="00B11A75" w:rsidP="000634B2">
            <w:pPr>
              <w:ind w:left="-70"/>
            </w:pPr>
            <w:r w:rsidRPr="00B672AD">
              <w:rPr>
                <w:noProof/>
              </w:rPr>
              <w:drawing>
                <wp:anchor distT="0" distB="0" distL="114300" distR="114300" simplePos="0" relativeHeight="251659264" behindDoc="0" locked="0" layoutInCell="1" allowOverlap="1" wp14:anchorId="5734EC94" wp14:editId="2464BED0">
                  <wp:simplePos x="0" y="0"/>
                  <wp:positionH relativeFrom="page">
                    <wp:posOffset>-647700</wp:posOffset>
                  </wp:positionH>
                  <wp:positionV relativeFrom="page">
                    <wp:posOffset>3810</wp:posOffset>
                  </wp:positionV>
                  <wp:extent cx="1259840" cy="339725"/>
                  <wp:effectExtent l="0" t="0" r="0" b="3175"/>
                  <wp:wrapThrough wrapText="bothSides">
                    <wp:wrapPolygon edited="0">
                      <wp:start x="0" y="0"/>
                      <wp:lineTo x="0" y="20591"/>
                      <wp:lineTo x="5879" y="20591"/>
                      <wp:lineTo x="21230" y="19379"/>
                      <wp:lineTo x="21230" y="2422"/>
                      <wp:lineTo x="5879" y="0"/>
                      <wp:lineTo x="0" y="0"/>
                    </wp:wrapPolygon>
                  </wp:wrapThrough>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9840" cy="339725"/>
                          </a:xfrm>
                          <a:prstGeom prst="rect">
                            <a:avLst/>
                          </a:prstGeom>
                          <a:noFill/>
                          <a:ln>
                            <a:noFill/>
                          </a:ln>
                        </pic:spPr>
                      </pic:pic>
                    </a:graphicData>
                  </a:graphic>
                </wp:anchor>
              </w:drawing>
            </w:r>
          </w:p>
        </w:tc>
        <w:tc>
          <w:tcPr>
            <w:tcW w:w="2976" w:type="dxa"/>
          </w:tcPr>
          <w:p w:rsidR="00B11A75" w:rsidRDefault="00B11A75" w:rsidP="000634B2">
            <w:pPr>
              <w:pStyle w:val="Capalera"/>
              <w:ind w:right="114"/>
              <w:jc w:val="both"/>
              <w:rPr>
                <w:rFonts w:ascii="Dutch" w:hAnsi="Dutch"/>
                <w:noProof/>
                <w:sz w:val="22"/>
              </w:rPr>
            </w:pPr>
          </w:p>
        </w:tc>
      </w:tr>
      <w:tr w:rsidR="00B11A75" w:rsidRPr="00B17EF8" w:rsidTr="000634B2">
        <w:trPr>
          <w:gridBefore w:val="1"/>
          <w:wBefore w:w="284" w:type="dxa"/>
          <w:cantSplit/>
        </w:trPr>
        <w:tc>
          <w:tcPr>
            <w:tcW w:w="11835" w:type="dxa"/>
            <w:gridSpan w:val="3"/>
          </w:tcPr>
          <w:p w:rsidR="00B11A75" w:rsidRDefault="00B11A75" w:rsidP="000634B2">
            <w:r>
              <w:rPr>
                <w:rFonts w:ascii="Cambria" w:eastAsia="MS Mincho" w:hAnsi="Cambria"/>
                <w:noProof/>
                <w:szCs w:val="24"/>
              </w:rPr>
              <mc:AlternateContent>
                <mc:Choice Requires="wps">
                  <w:drawing>
                    <wp:anchor distT="0" distB="0" distL="114300" distR="114300" simplePos="0" relativeHeight="251660288" behindDoc="0" locked="0" layoutInCell="1" allowOverlap="1" wp14:anchorId="47F8EB42" wp14:editId="33661792">
                      <wp:simplePos x="0" y="0"/>
                      <wp:positionH relativeFrom="page">
                        <wp:posOffset>122555</wp:posOffset>
                      </wp:positionH>
                      <wp:positionV relativeFrom="page">
                        <wp:posOffset>111125</wp:posOffset>
                      </wp:positionV>
                      <wp:extent cx="1828800" cy="723900"/>
                      <wp:effectExtent l="0" t="0" r="0" b="0"/>
                      <wp:wrapThrough wrapText="bothSides">
                        <wp:wrapPolygon edited="0">
                          <wp:start x="450" y="0"/>
                          <wp:lineTo x="450" y="21032"/>
                          <wp:lineTo x="20925" y="21032"/>
                          <wp:lineTo x="20925" y="0"/>
                          <wp:lineTo x="450" y="0"/>
                        </wp:wrapPolygon>
                      </wp:wrapThrough>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723900"/>
                              </a:xfrm>
                              <a:prstGeom prst="rect">
                                <a:avLst/>
                              </a:prstGeom>
                              <a:noFill/>
                              <a:ln>
                                <a:noFill/>
                              </a:ln>
                              <a:effectLst/>
                              <a:extLst>
                                <a:ext uri="{C572A759-6A51-4108-AA02-DFA0A04FC94B}"/>
                              </a:extLst>
                            </wps:spPr>
                            <wps:txbx>
                              <w:txbxContent>
                                <w:p w:rsidR="00B11A75" w:rsidRDefault="00B11A75" w:rsidP="00B11A75">
                                  <w:pPr>
                                    <w:rPr>
                                      <w:rFonts w:ascii="Akkurat" w:hAnsi="Akkurat" w:cs="Akkurat"/>
                                      <w:sz w:val="14"/>
                                      <w:szCs w:val="14"/>
                                      <w:lang w:val="es-ES_tradnl"/>
                                    </w:rPr>
                                  </w:pPr>
                                  <w:proofErr w:type="spellStart"/>
                                  <w:r>
                                    <w:rPr>
                                      <w:rFonts w:ascii="Akkurat-Bold" w:hAnsi="Akkurat-Bold" w:cs="Akkurat-Bold"/>
                                      <w:b/>
                                      <w:bCs/>
                                      <w:sz w:val="14"/>
                                      <w:szCs w:val="14"/>
                                      <w:lang w:val="es-ES_tradnl"/>
                                    </w:rPr>
                                    <w:t>Disseny</w:t>
                                  </w:r>
                                  <w:proofErr w:type="spellEnd"/>
                                  <w:r>
                                    <w:rPr>
                                      <w:rFonts w:ascii="Akkurat-Bold" w:hAnsi="Akkurat-Bold" w:cs="Akkurat-Bold"/>
                                      <w:b/>
                                      <w:bCs/>
                                      <w:sz w:val="14"/>
                                      <w:szCs w:val="14"/>
                                      <w:lang w:val="es-ES_tradnl"/>
                                    </w:rPr>
                                    <w:t xml:space="preserve"> </w:t>
                                  </w:r>
                                  <w:proofErr w:type="spellStart"/>
                                  <w:r>
                                    <w:rPr>
                                      <w:rFonts w:ascii="Akkurat-Bold" w:hAnsi="Akkurat-Bold" w:cs="Akkurat-Bold"/>
                                      <w:b/>
                                      <w:bCs/>
                                      <w:sz w:val="14"/>
                                      <w:szCs w:val="14"/>
                                      <w:lang w:val="es-ES_tradnl"/>
                                    </w:rPr>
                                    <w:t>Hub</w:t>
                                  </w:r>
                                  <w:proofErr w:type="spellEnd"/>
                                  <w:r>
                                    <w:rPr>
                                      <w:rFonts w:ascii="Akkurat-Bold" w:hAnsi="Akkurat-Bold" w:cs="Akkurat-Bold"/>
                                      <w:b/>
                                      <w:bCs/>
                                      <w:sz w:val="14"/>
                                      <w:szCs w:val="14"/>
                                      <w:lang w:val="es-ES_tradnl"/>
                                    </w:rPr>
                                    <w:t xml:space="preserve"> Barcelona</w:t>
                                  </w:r>
                                </w:p>
                                <w:p w:rsidR="00B11A75" w:rsidRDefault="00B11A75" w:rsidP="00B11A75">
                                  <w:pPr>
                                    <w:rPr>
                                      <w:rFonts w:ascii="Akkurat" w:hAnsi="Akkurat" w:cs="Akkurat"/>
                                      <w:sz w:val="14"/>
                                      <w:szCs w:val="14"/>
                                      <w:lang w:val="es-ES_tradnl"/>
                                    </w:rPr>
                                  </w:pP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 xml:space="preserve">Pl. de les </w:t>
                                  </w:r>
                                  <w:proofErr w:type="spellStart"/>
                                  <w:r>
                                    <w:rPr>
                                      <w:rFonts w:ascii="Akkurat" w:hAnsi="Akkurat" w:cs="Akkurat"/>
                                      <w:sz w:val="14"/>
                                      <w:szCs w:val="14"/>
                                      <w:lang w:val="es-ES_tradnl"/>
                                    </w:rPr>
                                    <w:t>Glòries</w:t>
                                  </w:r>
                                  <w:proofErr w:type="spellEnd"/>
                                  <w:r>
                                    <w:rPr>
                                      <w:rFonts w:ascii="Akkurat" w:hAnsi="Akkurat" w:cs="Akkurat"/>
                                      <w:sz w:val="14"/>
                                      <w:szCs w:val="14"/>
                                      <w:lang w:val="es-ES_tradnl"/>
                                    </w:rPr>
                                    <w:t xml:space="preserve"> Catalanes, 37-38 </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08018 Barcelona</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 xml:space="preserve">+34 93 256 68 00 </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www.dissenyhubbarcelona.cat</w:t>
                                  </w:r>
                                </w:p>
                                <w:p w:rsidR="00B11A75" w:rsidRPr="00471319" w:rsidRDefault="00B11A75" w:rsidP="00B11A75">
                                  <w:pP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5pt;margin-top:8.75pt;width:2in;height:5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" filled="f" stroked="f">
                      <v:path arrowok="t"/>
                      <v:textbox>
                        <w:txbxContent>
                          <w:p w:rsidR="00B11A75" w:rsidRDefault="00B11A75" w:rsidP="00B11A75">
                            <w:pPr>
                              <w:rPr>
                                <w:rFonts w:ascii="Akkurat" w:hAnsi="Akkurat" w:cs="Akkurat"/>
                                <w:sz w:val="14"/>
                                <w:szCs w:val="14"/>
                                <w:lang w:val="es-ES_tradnl"/>
                              </w:rPr>
                            </w:pPr>
                            <w:proofErr w:type="spellStart"/>
                            <w:r>
                              <w:rPr>
                                <w:rFonts w:ascii="Akkurat-Bold" w:hAnsi="Akkurat-Bold" w:cs="Akkurat-Bold"/>
                                <w:b/>
                                <w:bCs/>
                                <w:sz w:val="14"/>
                                <w:szCs w:val="14"/>
                                <w:lang w:val="es-ES_tradnl"/>
                              </w:rPr>
                              <w:t>Disseny</w:t>
                            </w:r>
                            <w:proofErr w:type="spellEnd"/>
                            <w:r>
                              <w:rPr>
                                <w:rFonts w:ascii="Akkurat-Bold" w:hAnsi="Akkurat-Bold" w:cs="Akkurat-Bold"/>
                                <w:b/>
                                <w:bCs/>
                                <w:sz w:val="14"/>
                                <w:szCs w:val="14"/>
                                <w:lang w:val="es-ES_tradnl"/>
                              </w:rPr>
                              <w:t xml:space="preserve"> </w:t>
                            </w:r>
                            <w:proofErr w:type="spellStart"/>
                            <w:r>
                              <w:rPr>
                                <w:rFonts w:ascii="Akkurat-Bold" w:hAnsi="Akkurat-Bold" w:cs="Akkurat-Bold"/>
                                <w:b/>
                                <w:bCs/>
                                <w:sz w:val="14"/>
                                <w:szCs w:val="14"/>
                                <w:lang w:val="es-ES_tradnl"/>
                              </w:rPr>
                              <w:t>Hub</w:t>
                            </w:r>
                            <w:proofErr w:type="spellEnd"/>
                            <w:r>
                              <w:rPr>
                                <w:rFonts w:ascii="Akkurat-Bold" w:hAnsi="Akkurat-Bold" w:cs="Akkurat-Bold"/>
                                <w:b/>
                                <w:bCs/>
                                <w:sz w:val="14"/>
                                <w:szCs w:val="14"/>
                                <w:lang w:val="es-ES_tradnl"/>
                              </w:rPr>
                              <w:t xml:space="preserve"> Barcelona</w:t>
                            </w:r>
                          </w:p>
                          <w:p w:rsidR="00B11A75" w:rsidRDefault="00B11A75" w:rsidP="00B11A75">
                            <w:pPr>
                              <w:rPr>
                                <w:rFonts w:ascii="Akkurat" w:hAnsi="Akkurat" w:cs="Akkurat"/>
                                <w:sz w:val="14"/>
                                <w:szCs w:val="14"/>
                                <w:lang w:val="es-ES_tradnl"/>
                              </w:rPr>
                            </w:pP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 xml:space="preserve">Pl. de les </w:t>
                            </w:r>
                            <w:proofErr w:type="spellStart"/>
                            <w:r>
                              <w:rPr>
                                <w:rFonts w:ascii="Akkurat" w:hAnsi="Akkurat" w:cs="Akkurat"/>
                                <w:sz w:val="14"/>
                                <w:szCs w:val="14"/>
                                <w:lang w:val="es-ES_tradnl"/>
                              </w:rPr>
                              <w:t>Glòries</w:t>
                            </w:r>
                            <w:proofErr w:type="spellEnd"/>
                            <w:r>
                              <w:rPr>
                                <w:rFonts w:ascii="Akkurat" w:hAnsi="Akkurat" w:cs="Akkurat"/>
                                <w:sz w:val="14"/>
                                <w:szCs w:val="14"/>
                                <w:lang w:val="es-ES_tradnl"/>
                              </w:rPr>
                              <w:t xml:space="preserve"> Catalanes, 37-38 </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08018 Barcelona</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 xml:space="preserve">+34 93 256 68 00 </w:t>
                            </w:r>
                          </w:p>
                          <w:p w:rsidR="00B11A75" w:rsidRDefault="00B11A75" w:rsidP="00B11A75">
                            <w:pPr>
                              <w:rPr>
                                <w:rFonts w:ascii="Akkurat" w:hAnsi="Akkurat" w:cs="Akkurat"/>
                                <w:sz w:val="14"/>
                                <w:szCs w:val="14"/>
                                <w:lang w:val="es-ES_tradnl"/>
                              </w:rPr>
                            </w:pPr>
                            <w:r>
                              <w:rPr>
                                <w:rFonts w:ascii="Akkurat" w:hAnsi="Akkurat" w:cs="Akkurat"/>
                                <w:sz w:val="14"/>
                                <w:szCs w:val="14"/>
                                <w:lang w:val="es-ES_tradnl"/>
                              </w:rPr>
                              <w:t>www.dissenyhubbarcelona.cat</w:t>
                            </w:r>
                          </w:p>
                          <w:p w:rsidR="00B11A75" w:rsidRPr="00471319" w:rsidRDefault="00B11A75" w:rsidP="00B11A75">
                            <w:pPr>
                              <w:rPr>
                                <w:lang w:val="es-ES_tradnl"/>
                              </w:rPr>
                            </w:pPr>
                          </w:p>
                        </w:txbxContent>
                      </v:textbox>
                      <w10:wrap type="through" anchorx="page" anchory="page"/>
                    </v:shape>
                  </w:pict>
                </mc:Fallback>
              </mc:AlternateContent>
            </w:r>
          </w:p>
        </w:tc>
      </w:tr>
    </w:tbl>
    <w:p w:rsidR="002059D2" w:rsidRDefault="002059D2"/>
    <w:p w:rsidR="00B11A75" w:rsidRDefault="00B11A75"/>
    <w:p w:rsidR="00B11A75" w:rsidRPr="00BD0231" w:rsidRDefault="00B11A75" w:rsidP="00B11A75">
      <w:pPr>
        <w:jc w:val="both"/>
        <w:rPr>
          <w:rFonts w:ascii="Calibri" w:hAnsi="Calibri" w:cs="Calibri"/>
          <w:b/>
          <w:bCs/>
          <w:szCs w:val="24"/>
        </w:rPr>
      </w:pPr>
      <w:r w:rsidRPr="00BD0231">
        <w:rPr>
          <w:rFonts w:ascii="Calibri" w:hAnsi="Calibri" w:cs="Calibri"/>
          <w:b/>
          <w:bCs/>
          <w:szCs w:val="24"/>
        </w:rPr>
        <w:t>ANNEX 1</w:t>
      </w:r>
    </w:p>
    <w:p w:rsidR="00B11A75" w:rsidRDefault="00B11A75" w:rsidP="00B11A75">
      <w:pPr>
        <w:jc w:val="both"/>
        <w:rPr>
          <w:rFonts w:ascii="Calibri" w:hAnsi="Calibri" w:cs="Calibri"/>
          <w:szCs w:val="24"/>
        </w:rPr>
      </w:pPr>
    </w:p>
    <w:p w:rsidR="00B11A75" w:rsidRDefault="00B11A75" w:rsidP="00B11A75">
      <w:pPr>
        <w:pStyle w:val="Ttol3"/>
        <w:spacing w:before="0"/>
        <w:jc w:val="center"/>
        <w:rPr>
          <w:rFonts w:ascii="Arial" w:hAnsi="Arial" w:cs="Arial"/>
          <w:color w:val="auto"/>
          <w:sz w:val="22"/>
          <w:szCs w:val="22"/>
          <w:u w:val="single"/>
        </w:rPr>
      </w:pPr>
      <w:r>
        <w:rPr>
          <w:rFonts w:ascii="Arial" w:hAnsi="Arial" w:cs="Arial"/>
          <w:color w:val="auto"/>
          <w:sz w:val="22"/>
          <w:szCs w:val="22"/>
          <w:u w:val="single"/>
        </w:rPr>
        <w:t>ESTUDI DE VIABILITAT ECONÒMICA PER A L’EXPLOTACIÓ DEL SERVEI DE BAR-CAFETERIA DEL DISSENY HUB BARCELONA</w:t>
      </w:r>
    </w:p>
    <w:p w:rsidR="00B11A75" w:rsidRDefault="00B11A75" w:rsidP="00B11A75"/>
    <w:p w:rsidR="00B11A75" w:rsidRDefault="00B11A75" w:rsidP="00B11A75"/>
    <w:p w:rsidR="00B11A75" w:rsidRDefault="00B11A75" w:rsidP="00B11A75"/>
    <w:p w:rsidR="00B11A75" w:rsidRDefault="00B11A75" w:rsidP="00B11A75">
      <w:pPr>
        <w:pStyle w:val="Pargrafdellista"/>
        <w:numPr>
          <w:ilvl w:val="0"/>
          <w:numId w:val="2"/>
        </w:numPr>
        <w:rPr>
          <w:rFonts w:ascii="Arial" w:hAnsi="Arial" w:cs="Arial"/>
          <w:b/>
          <w:bCs/>
          <w:sz w:val="22"/>
          <w:szCs w:val="22"/>
        </w:rPr>
      </w:pPr>
      <w:r>
        <w:rPr>
          <w:rFonts w:ascii="Arial" w:hAnsi="Arial" w:cs="Arial"/>
          <w:b/>
          <w:bCs/>
          <w:sz w:val="22"/>
          <w:szCs w:val="22"/>
        </w:rPr>
        <w:t>Introducció</w:t>
      </w:r>
    </w:p>
    <w:p w:rsidR="00B11A75" w:rsidRPr="002127A9" w:rsidRDefault="00B11A75" w:rsidP="00B11A75">
      <w:pPr>
        <w:pStyle w:val="Pargrafdellista"/>
        <w:numPr>
          <w:ilvl w:val="0"/>
          <w:numId w:val="0"/>
        </w:numPr>
        <w:ind w:left="720"/>
        <w:rPr>
          <w:rFonts w:ascii="Arial" w:hAnsi="Arial" w:cs="Arial"/>
          <w:b/>
          <w:bCs/>
          <w:sz w:val="22"/>
          <w:szCs w:val="22"/>
        </w:rPr>
      </w:pPr>
    </w:p>
    <w:p w:rsidR="00B11A75" w:rsidRDefault="00B11A75" w:rsidP="00B11A75">
      <w:pPr>
        <w:ind w:left="360"/>
        <w:jc w:val="both"/>
        <w:rPr>
          <w:rFonts w:cs="Arial"/>
          <w:sz w:val="22"/>
          <w:szCs w:val="22"/>
        </w:rPr>
      </w:pPr>
      <w:r w:rsidRPr="00F52CB8">
        <w:rPr>
          <w:rFonts w:cs="Arial"/>
          <w:sz w:val="22"/>
          <w:szCs w:val="22"/>
        </w:rPr>
        <w:t xml:space="preserve">El Disseny </w:t>
      </w:r>
      <w:proofErr w:type="spellStart"/>
      <w:r w:rsidRPr="00F52CB8">
        <w:rPr>
          <w:rFonts w:cs="Arial"/>
          <w:sz w:val="22"/>
          <w:szCs w:val="22"/>
        </w:rPr>
        <w:t>Hub</w:t>
      </w:r>
      <w:proofErr w:type="spellEnd"/>
      <w:r w:rsidRPr="00F52CB8">
        <w:rPr>
          <w:rFonts w:cs="Arial"/>
          <w:sz w:val="22"/>
          <w:szCs w:val="22"/>
        </w:rPr>
        <w:t xml:space="preserve"> Barcelona</w:t>
      </w:r>
      <w:r w:rsidRPr="00AF018D">
        <w:rPr>
          <w:rFonts w:cs="Arial"/>
          <w:sz w:val="22"/>
          <w:szCs w:val="22"/>
        </w:rPr>
        <w:t xml:space="preserve"> (d’ara endavant DHUB) és l’equipament de referència del disseny a Barcelona que és gestionat des l’Institut de Cultura de Barcelona. En aquest sentit, és la seu del Museu del Disseny de Barcelona, de Foment de les Arts i el Disseny (FAD), de la Fundació Barcelona Centre de Disseny (BCD), i de la biblioteca d’El Clot Josep Benet adscrita al Consorci de Biblioteques de Barcelona. El DHUB desenvolupa un programa, amb les entitats residents i altres col·laborador</w:t>
      </w:r>
      <w:r>
        <w:rPr>
          <w:rFonts w:cs="Arial"/>
          <w:sz w:val="22"/>
          <w:szCs w:val="22"/>
        </w:rPr>
        <w:t>s,</w:t>
      </w:r>
      <w:r w:rsidRPr="00AF018D">
        <w:rPr>
          <w:rFonts w:cs="Arial"/>
          <w:sz w:val="22"/>
          <w:szCs w:val="22"/>
        </w:rPr>
        <w:t xml:space="preserve"> centrat en la promoció econòmica, cultural i social </w:t>
      </w:r>
      <w:r>
        <w:rPr>
          <w:rFonts w:cs="Arial"/>
          <w:sz w:val="22"/>
          <w:szCs w:val="22"/>
        </w:rPr>
        <w:t xml:space="preserve">en l’àmbit </w:t>
      </w:r>
      <w:r w:rsidRPr="00AF018D">
        <w:rPr>
          <w:rFonts w:cs="Arial"/>
          <w:sz w:val="22"/>
          <w:szCs w:val="22"/>
        </w:rPr>
        <w:t>del disseny</w:t>
      </w:r>
      <w:r>
        <w:rPr>
          <w:rFonts w:cs="Arial"/>
          <w:sz w:val="22"/>
          <w:szCs w:val="22"/>
        </w:rPr>
        <w:t>, la creativitat</w:t>
      </w:r>
      <w:r w:rsidRPr="00AF018D">
        <w:rPr>
          <w:rFonts w:cs="Arial"/>
          <w:sz w:val="22"/>
          <w:szCs w:val="22"/>
        </w:rPr>
        <w:t xml:space="preserve"> i la innovació. </w:t>
      </w:r>
      <w:r>
        <w:rPr>
          <w:rFonts w:cs="Arial"/>
          <w:sz w:val="22"/>
          <w:szCs w:val="22"/>
        </w:rPr>
        <w:t>L’edifici va obrir les seves portes el mes de desembre de 2014 i al llarg del temps s’ha anat posicionant com a referent i en 2021 es reforça la seva es la seva posició amb la participació activa de la Regidoria de Promoció Econòmica en la seva voluntat de promoció del districte 22@ juntament amb d’altres àrees de la ciutat. Així mateix, les actuacions urbanístiques en curs afavoreixen aquesta centralitat.</w:t>
      </w:r>
    </w:p>
    <w:p w:rsidR="00B11A75" w:rsidRDefault="00B11A75" w:rsidP="00B11A75">
      <w:pPr>
        <w:ind w:left="360"/>
        <w:jc w:val="both"/>
        <w:rPr>
          <w:rFonts w:cs="Arial"/>
          <w:sz w:val="22"/>
          <w:szCs w:val="22"/>
        </w:rPr>
      </w:pPr>
    </w:p>
    <w:p w:rsidR="00B11A75" w:rsidRDefault="00B11A75" w:rsidP="00B11A75">
      <w:pPr>
        <w:ind w:left="360"/>
        <w:jc w:val="both"/>
        <w:rPr>
          <w:rFonts w:cs="Arial"/>
          <w:sz w:val="22"/>
          <w:szCs w:val="22"/>
        </w:rPr>
      </w:pPr>
      <w:r>
        <w:rPr>
          <w:rFonts w:cs="Arial"/>
          <w:sz w:val="22"/>
          <w:szCs w:val="22"/>
        </w:rPr>
        <w:t>El mes de gener de 2015 es formalitzar el contracte de l’explotació, en règim de concessió de serveis, del bar-cafeteria tenint com a data de finalització de la concessió el dia 20 de gener de 2022. Amb tot, l’inici de l’activitat no es produeix fins el mes de maig de 2015 en acabar les obres de condicionament de les instal·lacions.</w:t>
      </w:r>
    </w:p>
    <w:p w:rsidR="00B11A75" w:rsidRDefault="00B11A75" w:rsidP="00B11A75">
      <w:pPr>
        <w:ind w:left="360"/>
        <w:jc w:val="both"/>
        <w:rPr>
          <w:rFonts w:cs="Arial"/>
          <w:sz w:val="22"/>
          <w:szCs w:val="22"/>
        </w:rPr>
      </w:pPr>
    </w:p>
    <w:p w:rsidR="00B11A75" w:rsidRDefault="00B11A75" w:rsidP="00B11A75">
      <w:pPr>
        <w:ind w:left="360"/>
        <w:jc w:val="both"/>
        <w:rPr>
          <w:rFonts w:cs="Arial"/>
          <w:sz w:val="22"/>
          <w:szCs w:val="22"/>
        </w:rPr>
      </w:pPr>
    </w:p>
    <w:p w:rsidR="00B11A75" w:rsidRPr="002127A9" w:rsidRDefault="00B11A75" w:rsidP="00B11A75">
      <w:pPr>
        <w:jc w:val="both"/>
        <w:rPr>
          <w:rFonts w:cs="Arial"/>
          <w:b/>
          <w:bCs/>
          <w:sz w:val="22"/>
          <w:szCs w:val="22"/>
        </w:rPr>
      </w:pPr>
    </w:p>
    <w:p w:rsidR="00B11A75" w:rsidRDefault="00B11A75" w:rsidP="00B11A75">
      <w:pPr>
        <w:pStyle w:val="Pargrafdellista"/>
        <w:numPr>
          <w:ilvl w:val="0"/>
          <w:numId w:val="2"/>
        </w:numPr>
        <w:jc w:val="both"/>
        <w:rPr>
          <w:rFonts w:ascii="Arial" w:hAnsi="Arial" w:cs="Arial"/>
          <w:b/>
          <w:bCs/>
          <w:sz w:val="22"/>
          <w:szCs w:val="22"/>
        </w:rPr>
      </w:pPr>
      <w:r>
        <w:rPr>
          <w:rFonts w:ascii="Arial" w:hAnsi="Arial" w:cs="Arial"/>
          <w:b/>
          <w:bCs/>
          <w:sz w:val="22"/>
          <w:szCs w:val="22"/>
        </w:rPr>
        <w:t>Antecedents. Evolució del compte d’explotació de la concessió.</w:t>
      </w:r>
    </w:p>
    <w:p w:rsidR="00B11A75" w:rsidRPr="002127A9" w:rsidRDefault="00B11A75" w:rsidP="00B11A75">
      <w:pPr>
        <w:pStyle w:val="Pargrafdellista"/>
        <w:numPr>
          <w:ilvl w:val="0"/>
          <w:numId w:val="0"/>
        </w:numPr>
        <w:ind w:left="720"/>
        <w:jc w:val="both"/>
        <w:rPr>
          <w:rFonts w:ascii="Arial" w:hAnsi="Arial" w:cs="Arial"/>
          <w:b/>
          <w:bCs/>
          <w:sz w:val="22"/>
          <w:szCs w:val="22"/>
        </w:rPr>
      </w:pPr>
    </w:p>
    <w:p w:rsidR="00B11A75" w:rsidRPr="008D7B64" w:rsidRDefault="00B11A75" w:rsidP="00B11A75">
      <w:pPr>
        <w:ind w:left="360"/>
        <w:jc w:val="both"/>
        <w:rPr>
          <w:rFonts w:cs="Arial"/>
          <w:sz w:val="22"/>
          <w:szCs w:val="22"/>
        </w:rPr>
      </w:pPr>
      <w:r w:rsidRPr="008D7B64">
        <w:rPr>
          <w:rFonts w:cs="Arial"/>
          <w:sz w:val="22"/>
          <w:szCs w:val="22"/>
        </w:rPr>
        <w:t>Els comptes de resultats dels anys 2015 a 2019 donen un resultat d’ingressos d’explotació que oscil·len en una forquilla que va dels 300.000,00€ als 650.000,00€. Pel que fa a l’exercici 2020, queda palès els efectes de la suspensió de l’activitat amb motiu de la crisi sanitària de la Covid19 i per tant no es tenen en consideració.</w:t>
      </w:r>
    </w:p>
    <w:p w:rsidR="00B11A75" w:rsidRPr="008D7B64" w:rsidRDefault="00B11A75" w:rsidP="00B11A75">
      <w:pPr>
        <w:ind w:left="360"/>
        <w:jc w:val="both"/>
        <w:rPr>
          <w:rFonts w:cs="Arial"/>
          <w:sz w:val="22"/>
          <w:szCs w:val="22"/>
        </w:rPr>
      </w:pPr>
      <w:r w:rsidRPr="008D7B64">
        <w:rPr>
          <w:rFonts w:cs="Arial"/>
          <w:sz w:val="22"/>
          <w:szCs w:val="22"/>
        </w:rPr>
        <w:t>D’entre els anys 2015 a 2019, els exercicis més representatius són els corresponents als anys 2017 a 2019 els quals donen una mitjana de 613.000,00€ segons detall del quadre següent:</w:t>
      </w:r>
    </w:p>
    <w:p w:rsidR="00B11A75" w:rsidRPr="008D7B64" w:rsidRDefault="00B11A75" w:rsidP="00B11A75">
      <w:pPr>
        <w:ind w:left="360"/>
        <w:jc w:val="both"/>
        <w:rPr>
          <w:rFonts w:cs="Arial"/>
          <w:sz w:val="22"/>
          <w:szCs w:val="22"/>
        </w:rPr>
      </w:pPr>
    </w:p>
    <w:p w:rsidR="00B11A75" w:rsidRDefault="00B11A75" w:rsidP="00B11A75">
      <w:pPr>
        <w:ind w:left="360"/>
        <w:jc w:val="both"/>
        <w:rPr>
          <w:rFonts w:cs="Arial"/>
          <w:sz w:val="22"/>
          <w:szCs w:val="22"/>
        </w:rPr>
      </w:pPr>
    </w:p>
    <w:p w:rsidR="00B11A75" w:rsidRDefault="00B11A75" w:rsidP="00B11A75">
      <w:pPr>
        <w:ind w:left="360"/>
        <w:jc w:val="both"/>
        <w:rPr>
          <w:rFonts w:cs="Arial"/>
          <w:sz w:val="22"/>
          <w:szCs w:val="22"/>
        </w:rPr>
      </w:pPr>
    </w:p>
    <w:p w:rsidR="00B11A75" w:rsidRDefault="00B11A75" w:rsidP="00B11A75">
      <w:pPr>
        <w:ind w:left="360"/>
        <w:jc w:val="both"/>
        <w:rPr>
          <w:rFonts w:cs="Arial"/>
          <w:sz w:val="22"/>
          <w:szCs w:val="22"/>
        </w:rPr>
      </w:pPr>
    </w:p>
    <w:p w:rsidR="00B11A75" w:rsidRPr="002442FB" w:rsidRDefault="00B11A75" w:rsidP="00B11A75">
      <w:pPr>
        <w:jc w:val="both"/>
        <w:rPr>
          <w:rFonts w:cs="Arial"/>
          <w:b/>
          <w:bCs/>
          <w:sz w:val="22"/>
          <w:szCs w:val="22"/>
        </w:rPr>
      </w:pPr>
    </w:p>
    <w:p w:rsidR="00B11A75" w:rsidRDefault="00B11A75" w:rsidP="00B11A75">
      <w:pPr>
        <w:pStyle w:val="Pargrafdellista"/>
        <w:numPr>
          <w:ilvl w:val="0"/>
          <w:numId w:val="0"/>
        </w:numPr>
        <w:ind w:left="720"/>
        <w:jc w:val="both"/>
        <w:rPr>
          <w:rFonts w:ascii="Arial" w:hAnsi="Arial" w:cs="Arial"/>
          <w:sz w:val="22"/>
          <w:szCs w:val="22"/>
        </w:rPr>
      </w:pPr>
    </w:p>
    <w:tbl>
      <w:tblPr>
        <w:tblW w:w="3457" w:type="dxa"/>
        <w:tblInd w:w="77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44"/>
        <w:gridCol w:w="1313"/>
      </w:tblGrid>
      <w:tr w:rsidR="00B11A75" w:rsidRPr="00222138" w:rsidTr="000634B2">
        <w:trPr>
          <w:trHeight w:val="280"/>
        </w:trPr>
        <w:tc>
          <w:tcPr>
            <w:tcW w:w="2144" w:type="dxa"/>
            <w:shd w:val="clear" w:color="000000" w:fill="C4BD97"/>
            <w:noWrap/>
            <w:vAlign w:val="bottom"/>
            <w:hideMark/>
          </w:tcPr>
          <w:p w:rsidR="00B11A75" w:rsidRPr="00222138" w:rsidRDefault="00B11A75" w:rsidP="000634B2">
            <w:pPr>
              <w:rPr>
                <w:rFonts w:cs="Arial"/>
                <w:b/>
                <w:bCs/>
                <w:color w:val="000000"/>
                <w:sz w:val="16"/>
                <w:szCs w:val="16"/>
                <w:lang w:bidi="ks-Deva"/>
              </w:rPr>
            </w:pPr>
          </w:p>
        </w:tc>
        <w:tc>
          <w:tcPr>
            <w:tcW w:w="1313" w:type="dxa"/>
            <w:shd w:val="clear" w:color="000000" w:fill="C4BD97"/>
            <w:vAlign w:val="bottom"/>
          </w:tcPr>
          <w:p w:rsidR="00B11A75" w:rsidRPr="00222138" w:rsidRDefault="00B11A75" w:rsidP="000634B2">
            <w:pPr>
              <w:jc w:val="right"/>
              <w:rPr>
                <w:rFonts w:cs="Arial"/>
                <w:b/>
                <w:bCs/>
                <w:color w:val="000000"/>
                <w:sz w:val="16"/>
                <w:szCs w:val="16"/>
                <w:lang w:bidi="ks-Deva"/>
              </w:rPr>
            </w:pPr>
          </w:p>
        </w:tc>
      </w:tr>
      <w:tr w:rsidR="00B11A75" w:rsidRPr="00222138" w:rsidTr="000634B2">
        <w:trPr>
          <w:trHeight w:val="280"/>
        </w:trPr>
        <w:tc>
          <w:tcPr>
            <w:tcW w:w="2144" w:type="dxa"/>
            <w:shd w:val="clear" w:color="000000" w:fill="C4BD97"/>
            <w:noWrap/>
            <w:vAlign w:val="bottom"/>
            <w:hideMark/>
          </w:tcPr>
          <w:p w:rsidR="00B11A75" w:rsidRPr="00222138" w:rsidRDefault="00B11A75" w:rsidP="000634B2">
            <w:pPr>
              <w:rPr>
                <w:rFonts w:cs="Arial"/>
                <w:b/>
                <w:bCs/>
                <w:color w:val="000000"/>
                <w:sz w:val="16"/>
                <w:szCs w:val="16"/>
                <w:lang w:bidi="ks-Deva"/>
              </w:rPr>
            </w:pPr>
            <w:r w:rsidRPr="00222138">
              <w:rPr>
                <w:rFonts w:cs="Arial"/>
                <w:b/>
                <w:bCs/>
                <w:color w:val="000000"/>
                <w:sz w:val="16"/>
                <w:szCs w:val="16"/>
                <w:lang w:bidi="ks-Deva"/>
              </w:rPr>
              <w:t>Compte d'explotació</w:t>
            </w:r>
          </w:p>
        </w:tc>
        <w:tc>
          <w:tcPr>
            <w:tcW w:w="1313" w:type="dxa"/>
            <w:shd w:val="clear" w:color="000000" w:fill="C4BD97"/>
            <w:vAlign w:val="bottom"/>
          </w:tcPr>
          <w:p w:rsidR="00B11A75" w:rsidRPr="00222138" w:rsidRDefault="00B11A75" w:rsidP="000634B2">
            <w:pPr>
              <w:jc w:val="right"/>
              <w:rPr>
                <w:rFonts w:cs="Arial"/>
                <w:b/>
                <w:bCs/>
                <w:color w:val="000000"/>
                <w:sz w:val="16"/>
                <w:szCs w:val="16"/>
                <w:lang w:bidi="ks-Deva"/>
              </w:rPr>
            </w:pP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w:t>
            </w:r>
          </w:p>
        </w:tc>
        <w:tc>
          <w:tcPr>
            <w:tcW w:w="1313" w:type="dxa"/>
            <w:vAlign w:val="bottom"/>
          </w:tcPr>
          <w:p w:rsidR="00B11A75" w:rsidRPr="00222138" w:rsidRDefault="00B11A75" w:rsidP="000634B2">
            <w:pPr>
              <w:rPr>
                <w:rFonts w:cs="Arial"/>
                <w:color w:val="000000"/>
                <w:sz w:val="16"/>
                <w:szCs w:val="16"/>
                <w:lang w:bidi="ks-Deva"/>
              </w:rPr>
            </w:pPr>
          </w:p>
        </w:tc>
      </w:tr>
      <w:tr w:rsidR="00B11A75" w:rsidRPr="00222138" w:rsidTr="000634B2">
        <w:trPr>
          <w:trHeight w:val="280"/>
        </w:trPr>
        <w:tc>
          <w:tcPr>
            <w:tcW w:w="2144" w:type="dxa"/>
            <w:shd w:val="clear" w:color="000000" w:fill="D9D9D9"/>
            <w:noWrap/>
            <w:vAlign w:val="bottom"/>
            <w:hideMark/>
          </w:tcPr>
          <w:p w:rsidR="00B11A75" w:rsidRPr="00623B0F" w:rsidRDefault="00B11A75" w:rsidP="000634B2">
            <w:pPr>
              <w:rPr>
                <w:rFonts w:cs="Arial"/>
                <w:color w:val="000000"/>
                <w:sz w:val="16"/>
                <w:szCs w:val="16"/>
                <w:lang w:bidi="ks-Deva"/>
              </w:rPr>
            </w:pPr>
            <w:r w:rsidRPr="00623B0F">
              <w:rPr>
                <w:rFonts w:cs="Arial"/>
                <w:color w:val="000000"/>
                <w:sz w:val="16"/>
                <w:szCs w:val="16"/>
                <w:lang w:bidi="ks-Deva"/>
              </w:rPr>
              <w:t>Ingressos d'explotació</w:t>
            </w:r>
          </w:p>
        </w:tc>
        <w:tc>
          <w:tcPr>
            <w:tcW w:w="1313" w:type="dxa"/>
            <w:vAlign w:val="center"/>
          </w:tcPr>
          <w:p w:rsidR="00B11A75" w:rsidRPr="00623B0F" w:rsidRDefault="00B11A75" w:rsidP="000634B2">
            <w:pPr>
              <w:rPr>
                <w:rFonts w:cs="Arial"/>
                <w:b/>
                <w:bCs/>
                <w:sz w:val="16"/>
                <w:szCs w:val="16"/>
              </w:rPr>
            </w:pPr>
          </w:p>
          <w:p w:rsidR="00B11A75" w:rsidRPr="00623B0F" w:rsidRDefault="00B11A75" w:rsidP="000634B2">
            <w:pPr>
              <w:jc w:val="right"/>
              <w:rPr>
                <w:rFonts w:cs="Arial"/>
                <w:b/>
                <w:bCs/>
                <w:sz w:val="16"/>
                <w:szCs w:val="16"/>
              </w:rPr>
            </w:pPr>
            <w:r>
              <w:rPr>
                <w:rFonts w:cs="Arial"/>
                <w:b/>
                <w:bCs/>
                <w:sz w:val="16"/>
                <w:szCs w:val="16"/>
              </w:rPr>
              <w:t>613.878,24 €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b/>
                <w:bCs/>
                <w:color w:val="000000"/>
                <w:sz w:val="16"/>
                <w:szCs w:val="16"/>
                <w:lang w:bidi="ks-Deva"/>
              </w:rPr>
            </w:pPr>
          </w:p>
        </w:tc>
        <w:tc>
          <w:tcPr>
            <w:tcW w:w="1313" w:type="dxa"/>
            <w:vAlign w:val="center"/>
          </w:tcPr>
          <w:p w:rsidR="00B11A75" w:rsidRPr="00E06AF7" w:rsidRDefault="00B11A75" w:rsidP="000634B2">
            <w:pPr>
              <w:jc w:val="right"/>
              <w:rPr>
                <w:rFonts w:cs="Arial"/>
                <w:b/>
                <w:bCs/>
                <w:sz w:val="16"/>
                <w:szCs w:val="16"/>
              </w:rPr>
            </w:pPr>
            <w:r w:rsidRPr="00E06AF7">
              <w:rPr>
                <w:rFonts w:cs="Arial"/>
                <w:b/>
                <w:bCs/>
                <w:sz w:val="16"/>
                <w:szCs w:val="16"/>
              </w:rPr>
              <w:t>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b/>
                <w:bCs/>
                <w:color w:val="000000"/>
                <w:sz w:val="16"/>
                <w:szCs w:val="16"/>
                <w:lang w:bidi="ks-Deva"/>
              </w:rPr>
            </w:pPr>
            <w:r w:rsidRPr="00222138">
              <w:rPr>
                <w:rFonts w:cs="Arial"/>
                <w:b/>
                <w:bCs/>
                <w:color w:val="000000"/>
                <w:sz w:val="16"/>
                <w:szCs w:val="16"/>
                <w:lang w:bidi="ks-Deva"/>
              </w:rPr>
              <w:t>Despeses d'explotació</w:t>
            </w:r>
          </w:p>
        </w:tc>
        <w:tc>
          <w:tcPr>
            <w:tcW w:w="1313" w:type="dxa"/>
            <w:vAlign w:val="center"/>
          </w:tcPr>
          <w:p w:rsidR="00B11A75" w:rsidRPr="00A62C2F" w:rsidRDefault="00B11A75" w:rsidP="000634B2">
            <w:pPr>
              <w:jc w:val="right"/>
              <w:rPr>
                <w:rFonts w:cs="Arial"/>
                <w:b/>
                <w:bCs/>
                <w:sz w:val="16"/>
                <w:szCs w:val="16"/>
              </w:rPr>
            </w:pPr>
            <w:r>
              <w:rPr>
                <w:rFonts w:cs="Arial"/>
                <w:b/>
                <w:bCs/>
                <w:sz w:val="16"/>
                <w:szCs w:val="16"/>
              </w:rPr>
              <w:t>527.330,18</w:t>
            </w:r>
            <w:r w:rsidRPr="00A62C2F">
              <w:rPr>
                <w:rFonts w:cs="Arial"/>
                <w:b/>
                <w:bCs/>
                <w:sz w:val="16"/>
                <w:szCs w:val="16"/>
              </w:rPr>
              <w:t xml:space="preserve">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compres</w:t>
            </w:r>
          </w:p>
        </w:tc>
        <w:tc>
          <w:tcPr>
            <w:tcW w:w="1313" w:type="dxa"/>
            <w:vAlign w:val="center"/>
          </w:tcPr>
          <w:p w:rsidR="00B11A75" w:rsidRPr="00A62C2F" w:rsidRDefault="00B11A75" w:rsidP="000634B2">
            <w:pPr>
              <w:jc w:val="right"/>
              <w:rPr>
                <w:rFonts w:cs="Arial"/>
                <w:sz w:val="16"/>
                <w:szCs w:val="16"/>
              </w:rPr>
            </w:pPr>
            <w:r>
              <w:rPr>
                <w:rFonts w:cs="Arial"/>
                <w:sz w:val="16"/>
                <w:szCs w:val="16"/>
              </w:rPr>
              <w:t>301.485,04</w:t>
            </w:r>
            <w:r w:rsidRPr="00A62C2F">
              <w:rPr>
                <w:rFonts w:cs="Arial"/>
                <w:sz w:val="16"/>
                <w:szCs w:val="16"/>
              </w:rPr>
              <w:t xml:space="preserve">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personal</w:t>
            </w:r>
          </w:p>
        </w:tc>
        <w:tc>
          <w:tcPr>
            <w:tcW w:w="1313" w:type="dxa"/>
            <w:vAlign w:val="center"/>
          </w:tcPr>
          <w:p w:rsidR="00B11A75" w:rsidRPr="00A62C2F" w:rsidRDefault="00B11A75" w:rsidP="000634B2">
            <w:pPr>
              <w:jc w:val="right"/>
              <w:rPr>
                <w:rFonts w:cs="Arial"/>
                <w:sz w:val="16"/>
                <w:szCs w:val="16"/>
              </w:rPr>
            </w:pPr>
            <w:r>
              <w:rPr>
                <w:rFonts w:cs="Arial"/>
                <w:sz w:val="16"/>
                <w:szCs w:val="16"/>
              </w:rPr>
              <w:t>201.242,26</w:t>
            </w:r>
            <w:r w:rsidRPr="00A62C2F">
              <w:rPr>
                <w:rFonts w:cs="Arial"/>
                <w:sz w:val="16"/>
                <w:szCs w:val="16"/>
              </w:rPr>
              <w:t xml:space="preserve">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altres despeses</w:t>
            </w:r>
          </w:p>
        </w:tc>
        <w:tc>
          <w:tcPr>
            <w:tcW w:w="1313" w:type="dxa"/>
            <w:vAlign w:val="center"/>
          </w:tcPr>
          <w:p w:rsidR="00B11A75" w:rsidRPr="00A62C2F" w:rsidRDefault="00B11A75" w:rsidP="000634B2">
            <w:pPr>
              <w:jc w:val="right"/>
              <w:rPr>
                <w:rFonts w:cs="Arial"/>
                <w:sz w:val="16"/>
                <w:szCs w:val="16"/>
              </w:rPr>
            </w:pPr>
            <w:r>
              <w:rPr>
                <w:rFonts w:cs="Arial"/>
                <w:sz w:val="16"/>
                <w:szCs w:val="16"/>
              </w:rPr>
              <w:t>24.682,47</w:t>
            </w:r>
            <w:r w:rsidRPr="00A62C2F">
              <w:rPr>
                <w:rFonts w:cs="Arial"/>
                <w:sz w:val="16"/>
                <w:szCs w:val="16"/>
              </w:rPr>
              <w:t xml:space="preserve">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xml:space="preserve">- </w:t>
            </w:r>
            <w:r>
              <w:rPr>
                <w:rFonts w:cs="Arial"/>
                <w:color w:val="000000"/>
                <w:sz w:val="16"/>
                <w:szCs w:val="16"/>
                <w:lang w:bidi="ks-Deva"/>
              </w:rPr>
              <w:t>amortització</w:t>
            </w:r>
          </w:p>
        </w:tc>
        <w:tc>
          <w:tcPr>
            <w:tcW w:w="1313" w:type="dxa"/>
            <w:vAlign w:val="center"/>
          </w:tcPr>
          <w:p w:rsidR="00B11A75" w:rsidRPr="00E06AF7" w:rsidRDefault="00B11A75" w:rsidP="000634B2">
            <w:pPr>
              <w:jc w:val="right"/>
              <w:rPr>
                <w:rFonts w:cs="Arial"/>
                <w:sz w:val="16"/>
                <w:szCs w:val="16"/>
              </w:rPr>
            </w:pPr>
            <w:r w:rsidRPr="00E06AF7">
              <w:rPr>
                <w:rFonts w:cs="Arial"/>
                <w:sz w:val="16"/>
                <w:szCs w:val="16"/>
              </w:rPr>
              <w:t>0,00 €</w:t>
            </w:r>
          </w:p>
        </w:tc>
      </w:tr>
      <w:tr w:rsidR="00B11A75" w:rsidRPr="00222138" w:rsidTr="000634B2">
        <w:trPr>
          <w:trHeight w:val="280"/>
        </w:trPr>
        <w:tc>
          <w:tcPr>
            <w:tcW w:w="2144" w:type="dxa"/>
            <w:shd w:val="clear" w:color="000000" w:fill="D9D9D9"/>
            <w:noWrap/>
            <w:vAlign w:val="bottom"/>
            <w:hideMark/>
          </w:tcPr>
          <w:p w:rsidR="00B11A75" w:rsidRPr="00222138" w:rsidRDefault="00B11A75" w:rsidP="000634B2">
            <w:pPr>
              <w:rPr>
                <w:rFonts w:cs="Arial"/>
                <w:color w:val="000000"/>
                <w:sz w:val="16"/>
                <w:szCs w:val="16"/>
                <w:lang w:bidi="ks-Deva"/>
              </w:rPr>
            </w:pPr>
            <w:r w:rsidRPr="00222138">
              <w:rPr>
                <w:rFonts w:cs="Arial"/>
                <w:color w:val="000000"/>
                <w:sz w:val="16"/>
                <w:szCs w:val="16"/>
                <w:lang w:bidi="ks-Deva"/>
              </w:rPr>
              <w:t> </w:t>
            </w:r>
          </w:p>
        </w:tc>
        <w:tc>
          <w:tcPr>
            <w:tcW w:w="1313" w:type="dxa"/>
            <w:vAlign w:val="center"/>
          </w:tcPr>
          <w:p w:rsidR="00B11A75" w:rsidRPr="00E06AF7" w:rsidRDefault="00B11A75" w:rsidP="000634B2">
            <w:pPr>
              <w:jc w:val="right"/>
              <w:rPr>
                <w:rFonts w:cs="Arial"/>
                <w:b/>
                <w:bCs/>
                <w:sz w:val="16"/>
                <w:szCs w:val="16"/>
              </w:rPr>
            </w:pPr>
            <w:r w:rsidRPr="00E06AF7">
              <w:rPr>
                <w:rFonts w:cs="Arial"/>
                <w:b/>
                <w:bCs/>
                <w:sz w:val="16"/>
                <w:szCs w:val="16"/>
              </w:rPr>
              <w:t> </w:t>
            </w:r>
          </w:p>
        </w:tc>
      </w:tr>
      <w:tr w:rsidR="00B11A75" w:rsidRPr="00222138" w:rsidTr="000634B2">
        <w:trPr>
          <w:trHeight w:val="280"/>
        </w:trPr>
        <w:tc>
          <w:tcPr>
            <w:tcW w:w="2144" w:type="dxa"/>
            <w:shd w:val="clear" w:color="000000" w:fill="D9D9D9"/>
            <w:noWrap/>
            <w:vAlign w:val="center"/>
            <w:hideMark/>
          </w:tcPr>
          <w:p w:rsidR="00B11A75" w:rsidRPr="00222138" w:rsidRDefault="00B11A75" w:rsidP="000634B2">
            <w:pPr>
              <w:jc w:val="both"/>
              <w:rPr>
                <w:rFonts w:cs="Arial"/>
                <w:b/>
                <w:bCs/>
                <w:sz w:val="16"/>
                <w:szCs w:val="16"/>
                <w:lang w:bidi="ks-Deva"/>
              </w:rPr>
            </w:pPr>
            <w:r>
              <w:rPr>
                <w:rFonts w:cs="Arial"/>
                <w:b/>
                <w:bCs/>
                <w:sz w:val="16"/>
                <w:szCs w:val="16"/>
                <w:lang w:bidi="ks-Deva"/>
              </w:rPr>
              <w:t>Resultats</w:t>
            </w:r>
          </w:p>
        </w:tc>
        <w:tc>
          <w:tcPr>
            <w:tcW w:w="1313" w:type="dxa"/>
            <w:vAlign w:val="center"/>
          </w:tcPr>
          <w:p w:rsidR="00B11A75" w:rsidRDefault="00B11A75" w:rsidP="000634B2">
            <w:pPr>
              <w:jc w:val="right"/>
              <w:rPr>
                <w:rFonts w:cs="Arial"/>
                <w:b/>
                <w:bCs/>
                <w:sz w:val="16"/>
                <w:szCs w:val="16"/>
              </w:rPr>
            </w:pPr>
          </w:p>
          <w:p w:rsidR="00B11A75" w:rsidRPr="00A62C2F" w:rsidRDefault="00B11A75" w:rsidP="000634B2">
            <w:pPr>
              <w:jc w:val="right"/>
              <w:rPr>
                <w:rFonts w:cs="Arial"/>
                <w:b/>
                <w:bCs/>
                <w:sz w:val="16"/>
                <w:szCs w:val="16"/>
              </w:rPr>
            </w:pPr>
            <w:r>
              <w:rPr>
                <w:rFonts w:cs="Arial"/>
                <w:b/>
                <w:bCs/>
                <w:sz w:val="16"/>
                <w:szCs w:val="16"/>
              </w:rPr>
              <w:t>86.508,86</w:t>
            </w:r>
            <w:r w:rsidRPr="00A62C2F">
              <w:rPr>
                <w:rFonts w:cs="Arial"/>
                <w:b/>
                <w:bCs/>
                <w:sz w:val="16"/>
                <w:szCs w:val="16"/>
              </w:rPr>
              <w:t xml:space="preserve"> €</w:t>
            </w:r>
          </w:p>
          <w:p w:rsidR="00B11A75" w:rsidRPr="00A62C2F" w:rsidRDefault="00B11A75" w:rsidP="000634B2">
            <w:pPr>
              <w:jc w:val="right"/>
              <w:rPr>
                <w:rFonts w:cs="Arial"/>
                <w:b/>
                <w:bCs/>
                <w:sz w:val="16"/>
                <w:szCs w:val="16"/>
              </w:rPr>
            </w:pPr>
          </w:p>
        </w:tc>
      </w:tr>
    </w:tbl>
    <w:p w:rsidR="00B11A75" w:rsidRDefault="00B11A75" w:rsidP="00B11A75">
      <w:pPr>
        <w:jc w:val="both"/>
        <w:rPr>
          <w:rFonts w:cs="Arial"/>
          <w:b/>
          <w:bCs/>
          <w:sz w:val="22"/>
          <w:szCs w:val="22"/>
        </w:rPr>
      </w:pPr>
    </w:p>
    <w:p w:rsidR="00B11A75" w:rsidRDefault="00B11A75" w:rsidP="00B11A75">
      <w:pPr>
        <w:jc w:val="both"/>
        <w:rPr>
          <w:rFonts w:cs="Arial"/>
          <w:b/>
          <w:bCs/>
          <w:sz w:val="22"/>
          <w:szCs w:val="22"/>
        </w:rPr>
      </w:pPr>
    </w:p>
    <w:p w:rsidR="00B11A75" w:rsidRDefault="00B11A75" w:rsidP="00B11A75">
      <w:pPr>
        <w:jc w:val="both"/>
        <w:rPr>
          <w:rFonts w:cs="Arial"/>
          <w:b/>
          <w:bCs/>
          <w:sz w:val="22"/>
          <w:szCs w:val="22"/>
        </w:rPr>
      </w:pPr>
    </w:p>
    <w:p w:rsidR="00B11A75" w:rsidRPr="00A03D9A" w:rsidRDefault="00B11A75" w:rsidP="00B11A75">
      <w:pPr>
        <w:jc w:val="both"/>
        <w:rPr>
          <w:rFonts w:cs="Arial"/>
          <w:b/>
          <w:bCs/>
          <w:sz w:val="22"/>
          <w:szCs w:val="22"/>
        </w:rPr>
      </w:pPr>
    </w:p>
    <w:p w:rsidR="00B11A75" w:rsidRPr="002442FB" w:rsidRDefault="00B11A75" w:rsidP="00B11A75">
      <w:pPr>
        <w:pStyle w:val="Pargrafdellista"/>
        <w:numPr>
          <w:ilvl w:val="0"/>
          <w:numId w:val="2"/>
        </w:numPr>
        <w:jc w:val="both"/>
        <w:rPr>
          <w:rFonts w:ascii="Arial" w:hAnsi="Arial" w:cs="Arial"/>
          <w:b/>
          <w:bCs/>
          <w:sz w:val="22"/>
          <w:szCs w:val="22"/>
        </w:rPr>
      </w:pPr>
      <w:r>
        <w:rPr>
          <w:rFonts w:ascii="Arial" w:hAnsi="Arial" w:cs="Arial"/>
          <w:b/>
          <w:bCs/>
          <w:sz w:val="22"/>
          <w:szCs w:val="22"/>
        </w:rPr>
        <w:t xml:space="preserve">Establiment del cànon. </w:t>
      </w:r>
      <w:r w:rsidRPr="002442FB">
        <w:rPr>
          <w:rFonts w:ascii="Arial" w:hAnsi="Arial" w:cs="Arial"/>
          <w:sz w:val="22"/>
          <w:szCs w:val="22"/>
        </w:rPr>
        <w:t>El Cànon establert és el que a continuació es detalla:</w:t>
      </w:r>
    </w:p>
    <w:p w:rsidR="00B11A75" w:rsidRDefault="00B11A75" w:rsidP="00B11A75">
      <w:pPr>
        <w:jc w:val="both"/>
        <w:rPr>
          <w:rFonts w:cs="Arial"/>
          <w:sz w:val="22"/>
          <w:szCs w:val="22"/>
        </w:rPr>
      </w:pPr>
    </w:p>
    <w:p w:rsidR="00B11A75" w:rsidRDefault="00B11A75" w:rsidP="00B11A75">
      <w:pPr>
        <w:ind w:left="720"/>
        <w:jc w:val="both"/>
        <w:rPr>
          <w:rFonts w:cs="Arial"/>
          <w:sz w:val="22"/>
          <w:szCs w:val="22"/>
        </w:rPr>
      </w:pPr>
      <w:r>
        <w:rPr>
          <w:rFonts w:cs="Arial"/>
          <w:sz w:val="22"/>
          <w:szCs w:val="22"/>
        </w:rPr>
        <w:t>Cànon fixe: 6.000,00€ anual</w:t>
      </w:r>
    </w:p>
    <w:p w:rsidR="00B11A75" w:rsidRPr="008D7B64" w:rsidRDefault="00B11A75" w:rsidP="000465CB">
      <w:pPr>
        <w:ind w:left="708" w:firstLine="2"/>
        <w:jc w:val="both"/>
        <w:rPr>
          <w:rFonts w:cs="Arial"/>
          <w:sz w:val="22"/>
          <w:szCs w:val="22"/>
        </w:rPr>
      </w:pPr>
      <w:r w:rsidRPr="000465CB">
        <w:rPr>
          <w:rFonts w:cs="Arial"/>
          <w:sz w:val="22"/>
          <w:szCs w:val="22"/>
          <w:highlight w:val="yellow"/>
        </w:rPr>
        <w:t xml:space="preserve">Cànon variable: </w:t>
      </w:r>
      <w:r w:rsidR="000465CB" w:rsidRPr="000465CB">
        <w:rPr>
          <w:rFonts w:cs="Arial"/>
          <w:sz w:val="22"/>
          <w:szCs w:val="22"/>
          <w:highlight w:val="yellow"/>
        </w:rPr>
        <w:t xml:space="preserve">en funció del pla de viabilitat s’estableix una rang d’entre un 3% i un </w:t>
      </w:r>
      <w:r w:rsidRPr="000465CB">
        <w:rPr>
          <w:rFonts w:cs="Arial"/>
          <w:sz w:val="22"/>
          <w:szCs w:val="22"/>
          <w:highlight w:val="yellow"/>
        </w:rPr>
        <w:t>6%</w:t>
      </w:r>
      <w:r w:rsidR="000465CB" w:rsidRPr="000465CB">
        <w:rPr>
          <w:rFonts w:cs="Arial"/>
          <w:sz w:val="22"/>
          <w:szCs w:val="22"/>
          <w:highlight w:val="yellow"/>
        </w:rPr>
        <w:t xml:space="preserve"> que garanteix la viabilitat en tots els escenaris</w:t>
      </w:r>
      <w:r w:rsidRPr="000465CB">
        <w:rPr>
          <w:rFonts w:cs="Arial"/>
          <w:sz w:val="22"/>
          <w:szCs w:val="22"/>
          <w:highlight w:val="yellow"/>
        </w:rPr>
        <w:t>.</w:t>
      </w:r>
    </w:p>
    <w:p w:rsidR="00B11A75" w:rsidRDefault="00B11A75" w:rsidP="00B11A75">
      <w:pPr>
        <w:ind w:left="720"/>
        <w:jc w:val="both"/>
        <w:rPr>
          <w:rFonts w:cs="Arial"/>
          <w:sz w:val="22"/>
          <w:szCs w:val="22"/>
        </w:rPr>
      </w:pPr>
      <w:r w:rsidRPr="008D7B64">
        <w:rPr>
          <w:rFonts w:cs="Arial"/>
          <w:sz w:val="22"/>
          <w:szCs w:val="22"/>
        </w:rPr>
        <w:t>El cànon variable forma part del criteris de valoració de l’oferta econòmica i com a tal vindrà definit per l’oferta del licitador</w:t>
      </w:r>
      <w:r>
        <w:rPr>
          <w:rFonts w:cs="Arial"/>
          <w:sz w:val="22"/>
          <w:szCs w:val="22"/>
        </w:rPr>
        <w:t>.</w:t>
      </w:r>
    </w:p>
    <w:p w:rsidR="00B11A75" w:rsidRDefault="00B11A75" w:rsidP="00B11A75">
      <w:pPr>
        <w:ind w:left="720"/>
        <w:jc w:val="both"/>
        <w:rPr>
          <w:rFonts w:cs="Arial"/>
          <w:sz w:val="22"/>
          <w:szCs w:val="22"/>
        </w:rPr>
      </w:pPr>
    </w:p>
    <w:p w:rsidR="00B11A75" w:rsidRDefault="00B11A75" w:rsidP="00B11A75">
      <w:pPr>
        <w:ind w:left="720"/>
        <w:jc w:val="both"/>
        <w:rPr>
          <w:rFonts w:cs="Arial"/>
          <w:sz w:val="22"/>
          <w:szCs w:val="22"/>
        </w:rPr>
      </w:pPr>
    </w:p>
    <w:p w:rsidR="00B11A75" w:rsidRPr="00B85C4C" w:rsidRDefault="00B11A75" w:rsidP="00B11A75">
      <w:pPr>
        <w:jc w:val="both"/>
        <w:rPr>
          <w:rFonts w:cs="Arial"/>
          <w:sz w:val="22"/>
          <w:szCs w:val="22"/>
        </w:rPr>
      </w:pPr>
    </w:p>
    <w:p w:rsidR="00B11A75" w:rsidRDefault="00B11A75" w:rsidP="00B11A75">
      <w:pPr>
        <w:pStyle w:val="Pargrafdellista"/>
        <w:numPr>
          <w:ilvl w:val="0"/>
          <w:numId w:val="2"/>
        </w:numPr>
        <w:jc w:val="both"/>
        <w:rPr>
          <w:rFonts w:ascii="Arial" w:hAnsi="Arial" w:cs="Arial"/>
          <w:b/>
          <w:bCs/>
          <w:sz w:val="22"/>
          <w:szCs w:val="22"/>
        </w:rPr>
      </w:pPr>
      <w:r>
        <w:rPr>
          <w:rFonts w:ascii="Arial" w:hAnsi="Arial" w:cs="Arial"/>
          <w:b/>
          <w:bCs/>
          <w:sz w:val="22"/>
          <w:szCs w:val="22"/>
        </w:rPr>
        <w:t>Escenaris</w:t>
      </w:r>
    </w:p>
    <w:p w:rsidR="00B11A75" w:rsidRDefault="00B11A75" w:rsidP="00B11A75">
      <w:pPr>
        <w:ind w:left="720"/>
        <w:jc w:val="both"/>
        <w:rPr>
          <w:rFonts w:cs="Arial"/>
          <w:sz w:val="22"/>
          <w:szCs w:val="22"/>
        </w:rPr>
      </w:pPr>
      <w:r w:rsidRPr="000465CB">
        <w:rPr>
          <w:rFonts w:cs="Arial"/>
          <w:sz w:val="22"/>
          <w:szCs w:val="22"/>
          <w:highlight w:val="yellow"/>
        </w:rPr>
        <w:t xml:space="preserve">En base a la mitjana de volum de vendes abans definida, el següent quadre recull el resultat de cànon en atenció a diversos escenaris per ingressos d’explotació i en aplicació del cànon fixe i del cànon variable màxim </w:t>
      </w:r>
      <w:r w:rsidR="000465CB" w:rsidRPr="000465CB">
        <w:rPr>
          <w:rFonts w:cs="Arial"/>
          <w:sz w:val="22"/>
          <w:szCs w:val="22"/>
          <w:highlight w:val="yellow"/>
        </w:rPr>
        <w:t>que garanteix la viabilitat en tots els escenaris</w:t>
      </w:r>
      <w:r w:rsidR="00735024">
        <w:rPr>
          <w:rFonts w:cs="Arial"/>
          <w:sz w:val="22"/>
          <w:szCs w:val="22"/>
          <w:highlight w:val="yellow"/>
        </w:rPr>
        <w:t xml:space="preserve"> (6</w:t>
      </w:r>
      <w:r w:rsidRPr="000465CB">
        <w:rPr>
          <w:rFonts w:cs="Arial"/>
          <w:sz w:val="22"/>
          <w:szCs w:val="22"/>
          <w:highlight w:val="yellow"/>
        </w:rPr>
        <w:t xml:space="preserve">%) i que </w:t>
      </w:r>
      <w:r w:rsidR="000465CB" w:rsidRPr="000465CB">
        <w:rPr>
          <w:rFonts w:cs="Arial"/>
          <w:sz w:val="22"/>
          <w:szCs w:val="22"/>
          <w:highlight w:val="yellow"/>
        </w:rPr>
        <w:t>forma</w:t>
      </w:r>
      <w:r w:rsidRPr="000465CB">
        <w:rPr>
          <w:rFonts w:cs="Arial"/>
          <w:sz w:val="22"/>
          <w:szCs w:val="22"/>
          <w:highlight w:val="yellow"/>
        </w:rPr>
        <w:t xml:space="preserve"> part dels criteris de valoració de l’oferta econòmica.</w:t>
      </w:r>
    </w:p>
    <w:p w:rsidR="00B11A75" w:rsidRDefault="00B11A75" w:rsidP="00B11A75">
      <w:pPr>
        <w:ind w:left="720"/>
        <w:jc w:val="both"/>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p w:rsidR="00B11A75" w:rsidRDefault="00B11A75" w:rsidP="00B11A75">
      <w:pPr>
        <w:ind w:firstLine="708"/>
        <w:rPr>
          <w:rFonts w:cs="Arial"/>
          <w:sz w:val="22"/>
          <w:szCs w:val="22"/>
        </w:rPr>
      </w:pPr>
    </w:p>
    <w:tbl>
      <w:tblPr>
        <w:tblpPr w:leftFromText="141" w:rightFromText="141" w:vertAnchor="text" w:horzAnchor="margin" w:tblpXSpec="center" w:tblpY="181"/>
        <w:tblW w:w="8772" w:type="dxa"/>
        <w:tblCellMar>
          <w:left w:w="70" w:type="dxa"/>
          <w:right w:w="70" w:type="dxa"/>
        </w:tblCellMar>
        <w:tblLook w:val="04A0" w:firstRow="1" w:lastRow="0" w:firstColumn="1" w:lastColumn="0" w:noHBand="0" w:noVBand="1"/>
      </w:tblPr>
      <w:tblGrid>
        <w:gridCol w:w="3472"/>
        <w:gridCol w:w="1260"/>
        <w:gridCol w:w="1260"/>
        <w:gridCol w:w="1420"/>
        <w:gridCol w:w="1360"/>
      </w:tblGrid>
      <w:tr w:rsidR="00B11A75" w:rsidRPr="009D3AC3" w:rsidTr="000634B2">
        <w:trPr>
          <w:trHeight w:val="290"/>
        </w:trPr>
        <w:tc>
          <w:tcPr>
            <w:tcW w:w="3472" w:type="dxa"/>
            <w:tcBorders>
              <w:top w:val="single" w:sz="8" w:space="0" w:color="auto"/>
              <w:left w:val="single" w:sz="8" w:space="0" w:color="auto"/>
              <w:bottom w:val="single" w:sz="8" w:space="0" w:color="auto"/>
              <w:right w:val="single" w:sz="4" w:space="0" w:color="auto"/>
            </w:tcBorders>
            <w:shd w:val="clear" w:color="000000" w:fill="F2F2F2"/>
            <w:noWrap/>
            <w:vAlign w:val="bottom"/>
            <w:hideMark/>
          </w:tcPr>
          <w:p w:rsidR="00B11A75" w:rsidRPr="009D3AC3" w:rsidRDefault="00B11A75" w:rsidP="000634B2">
            <w:pPr>
              <w:rPr>
                <w:rFonts w:cs="Arial"/>
                <w:b/>
                <w:bCs/>
                <w:color w:val="000000"/>
                <w:sz w:val="16"/>
                <w:szCs w:val="16"/>
                <w:lang w:bidi="ks-Deva"/>
              </w:rPr>
            </w:pPr>
            <w:r w:rsidRPr="009D3AC3">
              <w:rPr>
                <w:rFonts w:cs="Arial"/>
                <w:b/>
                <w:bCs/>
                <w:color w:val="000000"/>
                <w:sz w:val="16"/>
                <w:szCs w:val="16"/>
                <w:lang w:bidi="ks-Deva"/>
              </w:rPr>
              <w:t>Paràmetres</w:t>
            </w:r>
          </w:p>
        </w:tc>
        <w:tc>
          <w:tcPr>
            <w:tcW w:w="126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9D3AC3" w:rsidRDefault="00B11A75" w:rsidP="000634B2">
            <w:pPr>
              <w:jc w:val="center"/>
              <w:rPr>
                <w:rFonts w:cs="Arial"/>
                <w:b/>
                <w:bCs/>
                <w:color w:val="000000"/>
                <w:sz w:val="16"/>
                <w:szCs w:val="16"/>
                <w:lang w:bidi="ks-Deva"/>
              </w:rPr>
            </w:pPr>
            <w:r w:rsidRPr="009D3AC3">
              <w:rPr>
                <w:rFonts w:cs="Arial"/>
                <w:b/>
                <w:bCs/>
                <w:color w:val="000000"/>
                <w:sz w:val="16"/>
                <w:szCs w:val="16"/>
                <w:lang w:bidi="ks-Deva"/>
              </w:rPr>
              <w:t>Escenari 1</w:t>
            </w:r>
          </w:p>
        </w:tc>
        <w:tc>
          <w:tcPr>
            <w:tcW w:w="126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9D3AC3" w:rsidRDefault="00B11A75" w:rsidP="000634B2">
            <w:pPr>
              <w:jc w:val="center"/>
              <w:rPr>
                <w:rFonts w:cs="Arial"/>
                <w:b/>
                <w:bCs/>
                <w:color w:val="000000"/>
                <w:sz w:val="16"/>
                <w:szCs w:val="16"/>
                <w:lang w:bidi="ks-Deva"/>
              </w:rPr>
            </w:pPr>
            <w:r w:rsidRPr="009D3AC3">
              <w:rPr>
                <w:rFonts w:cs="Arial"/>
                <w:b/>
                <w:bCs/>
                <w:color w:val="000000"/>
                <w:sz w:val="16"/>
                <w:szCs w:val="16"/>
                <w:lang w:bidi="ks-Deva"/>
              </w:rPr>
              <w:t>Escenari 2</w:t>
            </w:r>
          </w:p>
        </w:tc>
        <w:tc>
          <w:tcPr>
            <w:tcW w:w="142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9D3AC3" w:rsidRDefault="00B11A75" w:rsidP="000634B2">
            <w:pPr>
              <w:jc w:val="center"/>
              <w:rPr>
                <w:rFonts w:cs="Arial"/>
                <w:b/>
                <w:bCs/>
                <w:color w:val="000000"/>
                <w:sz w:val="16"/>
                <w:szCs w:val="16"/>
                <w:lang w:bidi="ks-Deva"/>
              </w:rPr>
            </w:pPr>
            <w:r w:rsidRPr="009D3AC3">
              <w:rPr>
                <w:rFonts w:cs="Arial"/>
                <w:b/>
                <w:bCs/>
                <w:color w:val="000000"/>
                <w:sz w:val="16"/>
                <w:szCs w:val="16"/>
                <w:lang w:bidi="ks-Deva"/>
              </w:rPr>
              <w:t>Escenari 3</w:t>
            </w:r>
          </w:p>
        </w:tc>
        <w:tc>
          <w:tcPr>
            <w:tcW w:w="1360" w:type="dxa"/>
            <w:tcBorders>
              <w:top w:val="single" w:sz="8" w:space="0" w:color="auto"/>
              <w:left w:val="nil"/>
              <w:bottom w:val="single" w:sz="8" w:space="0" w:color="auto"/>
              <w:right w:val="single" w:sz="8" w:space="0" w:color="auto"/>
            </w:tcBorders>
            <w:shd w:val="clear" w:color="000000" w:fill="F2F2F2"/>
            <w:noWrap/>
            <w:vAlign w:val="bottom"/>
            <w:hideMark/>
          </w:tcPr>
          <w:p w:rsidR="00B11A75" w:rsidRPr="009D3AC3" w:rsidRDefault="00B11A75" w:rsidP="000634B2">
            <w:pPr>
              <w:jc w:val="center"/>
              <w:rPr>
                <w:rFonts w:cs="Arial"/>
                <w:b/>
                <w:bCs/>
                <w:color w:val="000000"/>
                <w:sz w:val="16"/>
                <w:szCs w:val="16"/>
                <w:lang w:bidi="ks-Deva"/>
              </w:rPr>
            </w:pPr>
            <w:r w:rsidRPr="009D3AC3">
              <w:rPr>
                <w:rFonts w:cs="Arial"/>
                <w:b/>
                <w:bCs/>
                <w:color w:val="000000"/>
                <w:sz w:val="16"/>
                <w:szCs w:val="16"/>
                <w:lang w:bidi="ks-Deva"/>
              </w:rPr>
              <w:t>Escenari 4</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Ingressos</w:t>
            </w:r>
            <w:r>
              <w:rPr>
                <w:rFonts w:cs="Arial"/>
                <w:color w:val="000000"/>
                <w:sz w:val="16"/>
                <w:szCs w:val="16"/>
                <w:lang w:bidi="ks-Deva"/>
              </w:rPr>
              <w:t xml:space="preserve"> d’explotació</w:t>
            </w:r>
          </w:p>
        </w:tc>
        <w:tc>
          <w:tcPr>
            <w:tcW w:w="126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400.000,00 €</w:t>
            </w:r>
          </w:p>
        </w:tc>
        <w:tc>
          <w:tcPr>
            <w:tcW w:w="126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500.000,00 €</w:t>
            </w:r>
          </w:p>
        </w:tc>
        <w:tc>
          <w:tcPr>
            <w:tcW w:w="142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600.000,00 €</w:t>
            </w:r>
          </w:p>
        </w:tc>
        <w:tc>
          <w:tcPr>
            <w:tcW w:w="1360" w:type="dxa"/>
            <w:tcBorders>
              <w:top w:val="nil"/>
              <w:left w:val="nil"/>
              <w:bottom w:val="nil"/>
              <w:right w:val="single" w:sz="8"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700.000,00 €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Despeses</w:t>
            </w:r>
            <w:r>
              <w:rPr>
                <w:rFonts w:cs="Arial"/>
                <w:color w:val="000000"/>
                <w:sz w:val="16"/>
                <w:szCs w:val="16"/>
                <w:lang w:bidi="ks-Deva"/>
              </w:rPr>
              <w:t xml:space="preserve"> d’explotació</w:t>
            </w:r>
          </w:p>
        </w:tc>
        <w:tc>
          <w:tcPr>
            <w:tcW w:w="126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370.000,00 €</w:t>
            </w:r>
          </w:p>
        </w:tc>
        <w:tc>
          <w:tcPr>
            <w:tcW w:w="126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440.000,00 €</w:t>
            </w:r>
          </w:p>
        </w:tc>
        <w:tc>
          <w:tcPr>
            <w:tcW w:w="1420" w:type="dxa"/>
            <w:tcBorders>
              <w:top w:val="nil"/>
              <w:left w:val="nil"/>
              <w:bottom w:val="nil"/>
              <w:right w:val="single" w:sz="4"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500.000,00 €</w:t>
            </w:r>
          </w:p>
        </w:tc>
        <w:tc>
          <w:tcPr>
            <w:tcW w:w="1360" w:type="dxa"/>
            <w:tcBorders>
              <w:top w:val="nil"/>
              <w:left w:val="nil"/>
              <w:bottom w:val="nil"/>
              <w:right w:val="single" w:sz="8" w:space="0" w:color="auto"/>
            </w:tcBorders>
            <w:shd w:val="clear" w:color="auto" w:fill="auto"/>
            <w:noWrap/>
            <w:vAlign w:val="center"/>
            <w:hideMark/>
          </w:tcPr>
          <w:p w:rsidR="00B11A75" w:rsidRPr="009D3AC3" w:rsidRDefault="00B11A75" w:rsidP="000634B2">
            <w:pPr>
              <w:jc w:val="right"/>
              <w:rPr>
                <w:rFonts w:cs="Arial"/>
                <w:sz w:val="16"/>
                <w:szCs w:val="16"/>
                <w:lang w:bidi="ks-Deva"/>
              </w:rPr>
            </w:pPr>
            <w:r w:rsidRPr="009D3AC3">
              <w:rPr>
                <w:rFonts w:cs="Arial"/>
                <w:sz w:val="16"/>
                <w:szCs w:val="16"/>
                <w:lang w:bidi="ks-Deva"/>
              </w:rPr>
              <w:t>575.000,00 €</w:t>
            </w:r>
          </w:p>
        </w:tc>
      </w:tr>
      <w:tr w:rsidR="00B11A75" w:rsidRPr="009D3AC3" w:rsidTr="000634B2">
        <w:trPr>
          <w:trHeight w:val="280"/>
        </w:trPr>
        <w:tc>
          <w:tcPr>
            <w:tcW w:w="3472" w:type="dxa"/>
            <w:tcBorders>
              <w:top w:val="nil"/>
              <w:left w:val="single" w:sz="8" w:space="0" w:color="auto"/>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bookmarkStart w:id="0" w:name="_GoBack" w:colFirst="1" w:colLast="1"/>
            <w:r>
              <w:rPr>
                <w:rFonts w:cs="Arial"/>
                <w:color w:val="000000"/>
                <w:sz w:val="16"/>
                <w:szCs w:val="16"/>
                <w:lang w:bidi="ks-Deva"/>
              </w:rPr>
              <w:t>Benefici abans cà</w:t>
            </w:r>
            <w:r w:rsidRPr="009D3AC3">
              <w:rPr>
                <w:rFonts w:cs="Arial"/>
                <w:color w:val="000000"/>
                <w:sz w:val="16"/>
                <w:szCs w:val="16"/>
                <w:lang w:bidi="ks-Deva"/>
              </w:rPr>
              <w:t>non</w:t>
            </w:r>
            <w:r>
              <w:rPr>
                <w:rFonts w:cs="Arial"/>
                <w:color w:val="000000"/>
                <w:sz w:val="16"/>
                <w:szCs w:val="16"/>
                <w:lang w:bidi="ks-Deva"/>
              </w:rPr>
              <w:t xml:space="preserve"> (fixe i variable)</w:t>
            </w:r>
          </w:p>
        </w:tc>
        <w:tc>
          <w:tcPr>
            <w:tcW w:w="1260" w:type="dxa"/>
            <w:tcBorders>
              <w:top w:val="nil"/>
              <w:left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30.000,00 €</w:t>
            </w:r>
          </w:p>
        </w:tc>
        <w:tc>
          <w:tcPr>
            <w:tcW w:w="1260" w:type="dxa"/>
            <w:tcBorders>
              <w:top w:val="nil"/>
              <w:left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60.000,00 €</w:t>
            </w:r>
          </w:p>
        </w:tc>
        <w:tc>
          <w:tcPr>
            <w:tcW w:w="1420" w:type="dxa"/>
            <w:tcBorders>
              <w:top w:val="nil"/>
              <w:left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100.000,00 €</w:t>
            </w:r>
          </w:p>
        </w:tc>
        <w:tc>
          <w:tcPr>
            <w:tcW w:w="1360" w:type="dxa"/>
            <w:tcBorders>
              <w:top w:val="nil"/>
              <w:left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125.000,00 €</w:t>
            </w:r>
          </w:p>
        </w:tc>
      </w:tr>
      <w:bookmarkEnd w:id="0"/>
      <w:tr w:rsidR="00B11A75" w:rsidRPr="006F6311" w:rsidTr="000634B2">
        <w:trPr>
          <w:trHeight w:val="280"/>
        </w:trPr>
        <w:tc>
          <w:tcPr>
            <w:tcW w:w="3472" w:type="dxa"/>
            <w:tcBorders>
              <w:top w:val="nil"/>
              <w:left w:val="single" w:sz="8" w:space="0" w:color="auto"/>
              <w:bottom w:val="single" w:sz="4" w:space="0" w:color="auto"/>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xml:space="preserve">% </w:t>
            </w:r>
            <w:r>
              <w:rPr>
                <w:rFonts w:cs="Arial"/>
                <w:color w:val="000000"/>
                <w:sz w:val="16"/>
                <w:szCs w:val="16"/>
                <w:lang w:bidi="ks-Deva"/>
              </w:rPr>
              <w:t>benefici</w:t>
            </w:r>
            <w:r w:rsidRPr="009D3AC3">
              <w:rPr>
                <w:rFonts w:cs="Arial"/>
                <w:color w:val="000000"/>
                <w:sz w:val="16"/>
                <w:szCs w:val="16"/>
                <w:lang w:bidi="ks-Deva"/>
              </w:rPr>
              <w:t xml:space="preserve"> abans cànon</w:t>
            </w:r>
          </w:p>
        </w:tc>
        <w:tc>
          <w:tcPr>
            <w:tcW w:w="1260" w:type="dxa"/>
            <w:tcBorders>
              <w:top w:val="nil"/>
              <w:left w:val="nil"/>
              <w:bottom w:val="single" w:sz="4" w:space="0" w:color="auto"/>
              <w:right w:val="single" w:sz="4" w:space="0" w:color="auto"/>
            </w:tcBorders>
            <w:shd w:val="clear" w:color="auto" w:fill="auto"/>
            <w:noWrap/>
            <w:vAlign w:val="bottom"/>
            <w:hideMark/>
          </w:tcPr>
          <w:p w:rsidR="00B11A75" w:rsidRPr="006F6311" w:rsidRDefault="00B11A75" w:rsidP="000634B2">
            <w:pPr>
              <w:jc w:val="right"/>
              <w:rPr>
                <w:rFonts w:cs="Arial"/>
                <w:color w:val="000000"/>
                <w:sz w:val="16"/>
                <w:szCs w:val="16"/>
                <w:lang w:bidi="ks-Deva"/>
              </w:rPr>
            </w:pPr>
            <w:r w:rsidRPr="006F6311">
              <w:rPr>
                <w:rFonts w:cs="Arial"/>
                <w:color w:val="000000"/>
                <w:sz w:val="16"/>
                <w:szCs w:val="16"/>
                <w:lang w:bidi="ks-Deva"/>
              </w:rPr>
              <w:t>7,50%</w:t>
            </w:r>
          </w:p>
        </w:tc>
        <w:tc>
          <w:tcPr>
            <w:tcW w:w="1260" w:type="dxa"/>
            <w:tcBorders>
              <w:top w:val="nil"/>
              <w:left w:val="nil"/>
              <w:bottom w:val="single" w:sz="4" w:space="0" w:color="auto"/>
              <w:right w:val="single" w:sz="4" w:space="0" w:color="auto"/>
            </w:tcBorders>
            <w:shd w:val="clear" w:color="auto" w:fill="auto"/>
            <w:noWrap/>
            <w:vAlign w:val="bottom"/>
            <w:hideMark/>
          </w:tcPr>
          <w:p w:rsidR="00B11A75" w:rsidRPr="006F6311" w:rsidRDefault="00B11A75" w:rsidP="000634B2">
            <w:pPr>
              <w:jc w:val="right"/>
              <w:rPr>
                <w:rFonts w:cs="Arial"/>
                <w:color w:val="000000"/>
                <w:sz w:val="16"/>
                <w:szCs w:val="16"/>
                <w:lang w:bidi="ks-Deva"/>
              </w:rPr>
            </w:pPr>
            <w:r w:rsidRPr="006F6311">
              <w:rPr>
                <w:rFonts w:cs="Arial"/>
                <w:color w:val="000000"/>
                <w:sz w:val="16"/>
                <w:szCs w:val="16"/>
                <w:lang w:bidi="ks-Deva"/>
              </w:rPr>
              <w:t>12,00%</w:t>
            </w:r>
          </w:p>
        </w:tc>
        <w:tc>
          <w:tcPr>
            <w:tcW w:w="1420" w:type="dxa"/>
            <w:tcBorders>
              <w:top w:val="nil"/>
              <w:left w:val="nil"/>
              <w:bottom w:val="single" w:sz="4" w:space="0" w:color="auto"/>
              <w:right w:val="single" w:sz="4" w:space="0" w:color="auto"/>
            </w:tcBorders>
            <w:shd w:val="clear" w:color="auto" w:fill="auto"/>
            <w:noWrap/>
            <w:vAlign w:val="bottom"/>
            <w:hideMark/>
          </w:tcPr>
          <w:p w:rsidR="00B11A75" w:rsidRPr="006F6311" w:rsidRDefault="00B11A75" w:rsidP="000634B2">
            <w:pPr>
              <w:jc w:val="right"/>
              <w:rPr>
                <w:rFonts w:cs="Arial"/>
                <w:color w:val="000000"/>
                <w:sz w:val="16"/>
                <w:szCs w:val="16"/>
                <w:lang w:bidi="ks-Deva"/>
              </w:rPr>
            </w:pPr>
            <w:r w:rsidRPr="006F6311">
              <w:rPr>
                <w:rFonts w:cs="Arial"/>
                <w:color w:val="000000"/>
                <w:sz w:val="16"/>
                <w:szCs w:val="16"/>
                <w:lang w:bidi="ks-Deva"/>
              </w:rPr>
              <w:t>16,67%</w:t>
            </w:r>
          </w:p>
        </w:tc>
        <w:tc>
          <w:tcPr>
            <w:tcW w:w="1360" w:type="dxa"/>
            <w:tcBorders>
              <w:top w:val="nil"/>
              <w:left w:val="nil"/>
              <w:bottom w:val="single" w:sz="4" w:space="0" w:color="auto"/>
              <w:right w:val="single" w:sz="8" w:space="0" w:color="auto"/>
            </w:tcBorders>
            <w:shd w:val="clear" w:color="auto" w:fill="auto"/>
            <w:noWrap/>
            <w:vAlign w:val="bottom"/>
            <w:hideMark/>
          </w:tcPr>
          <w:p w:rsidR="00B11A75" w:rsidRPr="006F6311" w:rsidRDefault="00B11A75" w:rsidP="000634B2">
            <w:pPr>
              <w:jc w:val="right"/>
              <w:rPr>
                <w:rFonts w:cs="Arial"/>
                <w:color w:val="000000"/>
                <w:sz w:val="16"/>
                <w:szCs w:val="16"/>
                <w:lang w:bidi="ks-Deva"/>
              </w:rPr>
            </w:pPr>
            <w:r w:rsidRPr="006F6311">
              <w:rPr>
                <w:rFonts w:cs="Arial"/>
                <w:color w:val="000000"/>
                <w:sz w:val="16"/>
                <w:szCs w:val="16"/>
                <w:lang w:bidi="ks-Deva"/>
              </w:rPr>
              <w:t>17,86%</w:t>
            </w:r>
          </w:p>
        </w:tc>
      </w:tr>
      <w:tr w:rsidR="00B11A75" w:rsidRPr="006F6311" w:rsidTr="000634B2">
        <w:trPr>
          <w:trHeight w:val="280"/>
        </w:trPr>
        <w:tc>
          <w:tcPr>
            <w:tcW w:w="3472" w:type="dxa"/>
            <w:tcBorders>
              <w:top w:val="single" w:sz="4" w:space="0" w:color="auto"/>
              <w:left w:val="nil"/>
              <w:bottom w:val="nil"/>
              <w:right w:val="nil"/>
            </w:tcBorders>
            <w:shd w:val="clear" w:color="auto" w:fill="auto"/>
            <w:noWrap/>
            <w:vAlign w:val="bottom"/>
            <w:hideMark/>
          </w:tcPr>
          <w:p w:rsidR="00B11A75" w:rsidRPr="009D3AC3" w:rsidRDefault="00B11A75" w:rsidP="000634B2">
            <w:pPr>
              <w:rPr>
                <w:rFonts w:cs="Arial"/>
                <w:color w:val="000000"/>
                <w:sz w:val="16"/>
                <w:szCs w:val="16"/>
                <w:lang w:bidi="ks-Deva"/>
              </w:rPr>
            </w:pPr>
          </w:p>
        </w:tc>
        <w:tc>
          <w:tcPr>
            <w:tcW w:w="1260" w:type="dxa"/>
            <w:tcBorders>
              <w:top w:val="single" w:sz="4" w:space="0" w:color="auto"/>
              <w:left w:val="nil"/>
              <w:bottom w:val="nil"/>
              <w:right w:val="nil"/>
            </w:tcBorders>
            <w:shd w:val="clear" w:color="auto" w:fill="auto"/>
            <w:noWrap/>
            <w:vAlign w:val="bottom"/>
            <w:hideMark/>
          </w:tcPr>
          <w:p w:rsidR="00B11A75" w:rsidRPr="006F6311" w:rsidRDefault="00B11A75" w:rsidP="000634B2">
            <w:pPr>
              <w:rPr>
                <w:rFonts w:cs="Arial"/>
                <w:color w:val="000000"/>
                <w:sz w:val="16"/>
                <w:szCs w:val="16"/>
                <w:lang w:bidi="ks-Deva"/>
              </w:rPr>
            </w:pPr>
          </w:p>
        </w:tc>
        <w:tc>
          <w:tcPr>
            <w:tcW w:w="1260" w:type="dxa"/>
            <w:tcBorders>
              <w:top w:val="single" w:sz="4" w:space="0" w:color="auto"/>
              <w:left w:val="nil"/>
              <w:bottom w:val="nil"/>
              <w:right w:val="nil"/>
            </w:tcBorders>
            <w:shd w:val="clear" w:color="auto" w:fill="auto"/>
            <w:noWrap/>
            <w:vAlign w:val="bottom"/>
            <w:hideMark/>
          </w:tcPr>
          <w:p w:rsidR="00B11A75" w:rsidRPr="006F6311" w:rsidRDefault="00B11A75" w:rsidP="000634B2">
            <w:pPr>
              <w:rPr>
                <w:rFonts w:cs="Arial"/>
                <w:color w:val="000000"/>
                <w:sz w:val="16"/>
                <w:szCs w:val="16"/>
                <w:lang w:bidi="ks-Deva"/>
              </w:rPr>
            </w:pPr>
          </w:p>
        </w:tc>
        <w:tc>
          <w:tcPr>
            <w:tcW w:w="1420" w:type="dxa"/>
            <w:tcBorders>
              <w:top w:val="single" w:sz="4" w:space="0" w:color="auto"/>
              <w:left w:val="nil"/>
              <w:bottom w:val="nil"/>
              <w:right w:val="nil"/>
            </w:tcBorders>
            <w:shd w:val="clear" w:color="auto" w:fill="auto"/>
            <w:noWrap/>
            <w:vAlign w:val="bottom"/>
            <w:hideMark/>
          </w:tcPr>
          <w:p w:rsidR="00B11A75" w:rsidRPr="006F6311" w:rsidRDefault="00B11A75" w:rsidP="000634B2">
            <w:pPr>
              <w:rPr>
                <w:rFonts w:cs="Arial"/>
                <w:color w:val="000000"/>
                <w:sz w:val="16"/>
                <w:szCs w:val="16"/>
                <w:lang w:bidi="ks-Deva"/>
              </w:rPr>
            </w:pPr>
          </w:p>
        </w:tc>
        <w:tc>
          <w:tcPr>
            <w:tcW w:w="1360" w:type="dxa"/>
            <w:tcBorders>
              <w:top w:val="single" w:sz="4" w:space="0" w:color="auto"/>
              <w:left w:val="nil"/>
              <w:bottom w:val="nil"/>
              <w:right w:val="nil"/>
            </w:tcBorders>
            <w:shd w:val="clear" w:color="auto" w:fill="auto"/>
            <w:noWrap/>
            <w:vAlign w:val="bottom"/>
            <w:hideMark/>
          </w:tcPr>
          <w:p w:rsidR="00B11A75" w:rsidRPr="006F6311" w:rsidRDefault="00B11A75" w:rsidP="000634B2">
            <w:pPr>
              <w:rPr>
                <w:rFonts w:cs="Arial"/>
                <w:color w:val="000000"/>
                <w:sz w:val="16"/>
                <w:szCs w:val="16"/>
                <w:lang w:bidi="ks-Deva"/>
              </w:rPr>
            </w:pPr>
          </w:p>
        </w:tc>
      </w:tr>
      <w:tr w:rsidR="00B11A75" w:rsidRPr="006F6311" w:rsidTr="000634B2">
        <w:trPr>
          <w:trHeight w:val="350"/>
        </w:trPr>
        <w:tc>
          <w:tcPr>
            <w:tcW w:w="3472" w:type="dxa"/>
            <w:tcBorders>
              <w:top w:val="single" w:sz="8" w:space="0" w:color="auto"/>
              <w:left w:val="single" w:sz="8" w:space="0" w:color="auto"/>
              <w:bottom w:val="single" w:sz="8" w:space="0" w:color="auto"/>
              <w:right w:val="single" w:sz="4" w:space="0" w:color="auto"/>
            </w:tcBorders>
            <w:shd w:val="clear" w:color="000000" w:fill="F2F2F2"/>
            <w:noWrap/>
            <w:vAlign w:val="bottom"/>
            <w:hideMark/>
          </w:tcPr>
          <w:p w:rsidR="00B11A75" w:rsidRPr="009D3AC3" w:rsidRDefault="00B11A75" w:rsidP="000634B2">
            <w:pPr>
              <w:rPr>
                <w:rFonts w:cs="Arial"/>
                <w:color w:val="000000"/>
                <w:sz w:val="16"/>
                <w:szCs w:val="16"/>
                <w:lang w:bidi="ks-Deva"/>
              </w:rPr>
            </w:pPr>
            <w:r w:rsidRPr="009D3AC3">
              <w:rPr>
                <w:rFonts w:cs="Arial"/>
                <w:b/>
                <w:bCs/>
                <w:color w:val="000000"/>
                <w:sz w:val="16"/>
                <w:szCs w:val="16"/>
                <w:lang w:bidi="ks-Deva"/>
              </w:rPr>
              <w:t>Repercussió Cànon Variable</w:t>
            </w:r>
          </w:p>
        </w:tc>
        <w:tc>
          <w:tcPr>
            <w:tcW w:w="126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6F6311" w:rsidRDefault="00B11A75" w:rsidP="000634B2">
            <w:pPr>
              <w:jc w:val="right"/>
              <w:rPr>
                <w:rFonts w:cs="Arial"/>
                <w:color w:val="000000"/>
                <w:sz w:val="16"/>
                <w:szCs w:val="16"/>
                <w:lang w:bidi="ks-Deva"/>
              </w:rPr>
            </w:pPr>
            <w:r w:rsidRPr="009D3AC3">
              <w:rPr>
                <w:rFonts w:cs="Arial"/>
                <w:b/>
                <w:bCs/>
                <w:color w:val="000000"/>
                <w:sz w:val="16"/>
                <w:szCs w:val="16"/>
                <w:lang w:bidi="ks-Deva"/>
              </w:rPr>
              <w:t>Escenari 1</w:t>
            </w:r>
          </w:p>
        </w:tc>
        <w:tc>
          <w:tcPr>
            <w:tcW w:w="126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6F6311" w:rsidRDefault="00B11A75" w:rsidP="000634B2">
            <w:pPr>
              <w:jc w:val="right"/>
              <w:rPr>
                <w:rFonts w:cs="Arial"/>
                <w:color w:val="000000"/>
                <w:sz w:val="16"/>
                <w:szCs w:val="16"/>
                <w:lang w:bidi="ks-Deva"/>
              </w:rPr>
            </w:pPr>
            <w:r w:rsidRPr="009D3AC3">
              <w:rPr>
                <w:rFonts w:cs="Arial"/>
                <w:b/>
                <w:bCs/>
                <w:color w:val="000000"/>
                <w:sz w:val="16"/>
                <w:szCs w:val="16"/>
                <w:lang w:bidi="ks-Deva"/>
              </w:rPr>
              <w:t>Escenari 2</w:t>
            </w:r>
          </w:p>
        </w:tc>
        <w:tc>
          <w:tcPr>
            <w:tcW w:w="1420" w:type="dxa"/>
            <w:tcBorders>
              <w:top w:val="single" w:sz="8" w:space="0" w:color="auto"/>
              <w:left w:val="nil"/>
              <w:bottom w:val="single" w:sz="8" w:space="0" w:color="auto"/>
              <w:right w:val="single" w:sz="4" w:space="0" w:color="auto"/>
            </w:tcBorders>
            <w:shd w:val="clear" w:color="000000" w:fill="F2F2F2"/>
            <w:noWrap/>
            <w:vAlign w:val="bottom"/>
            <w:hideMark/>
          </w:tcPr>
          <w:p w:rsidR="00B11A75" w:rsidRPr="006F6311" w:rsidRDefault="00B11A75" w:rsidP="000634B2">
            <w:pPr>
              <w:jc w:val="right"/>
              <w:rPr>
                <w:rFonts w:cs="Arial"/>
                <w:color w:val="000000"/>
                <w:sz w:val="16"/>
                <w:szCs w:val="16"/>
                <w:lang w:bidi="ks-Deva"/>
              </w:rPr>
            </w:pPr>
            <w:r w:rsidRPr="009D3AC3">
              <w:rPr>
                <w:rFonts w:cs="Arial"/>
                <w:b/>
                <w:bCs/>
                <w:color w:val="000000"/>
                <w:sz w:val="16"/>
                <w:szCs w:val="16"/>
                <w:lang w:bidi="ks-Deva"/>
              </w:rPr>
              <w:t>Escenari 3</w:t>
            </w:r>
          </w:p>
        </w:tc>
        <w:tc>
          <w:tcPr>
            <w:tcW w:w="1360" w:type="dxa"/>
            <w:tcBorders>
              <w:top w:val="single" w:sz="8" w:space="0" w:color="auto"/>
              <w:left w:val="nil"/>
              <w:bottom w:val="single" w:sz="8" w:space="0" w:color="auto"/>
              <w:right w:val="single" w:sz="8" w:space="0" w:color="auto"/>
            </w:tcBorders>
            <w:shd w:val="clear" w:color="000000" w:fill="F2F2F2"/>
            <w:noWrap/>
            <w:vAlign w:val="bottom"/>
            <w:hideMark/>
          </w:tcPr>
          <w:p w:rsidR="00B11A75" w:rsidRPr="006F6311" w:rsidRDefault="00B11A75" w:rsidP="000634B2">
            <w:pPr>
              <w:jc w:val="right"/>
              <w:rPr>
                <w:rFonts w:cs="Arial"/>
                <w:color w:val="000000"/>
                <w:sz w:val="16"/>
                <w:szCs w:val="16"/>
                <w:lang w:bidi="ks-Deva"/>
              </w:rPr>
            </w:pPr>
            <w:r w:rsidRPr="009D3AC3">
              <w:rPr>
                <w:rFonts w:cs="Arial"/>
                <w:b/>
                <w:bCs/>
                <w:color w:val="000000"/>
                <w:sz w:val="16"/>
                <w:szCs w:val="16"/>
                <w:lang w:bidi="ks-Deva"/>
              </w:rPr>
              <w:t>Escenari 4</w:t>
            </w:r>
          </w:p>
        </w:tc>
      </w:tr>
      <w:tr w:rsidR="00B11A75" w:rsidRPr="006F6311"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035B7A" w:rsidRDefault="00B11A75" w:rsidP="000634B2">
            <w:pPr>
              <w:rPr>
                <w:rFonts w:cs="Arial"/>
                <w:color w:val="000000"/>
                <w:sz w:val="16"/>
                <w:szCs w:val="16"/>
                <w:highlight w:val="yellow"/>
                <w:lang w:bidi="ks-Deva"/>
              </w:rPr>
            </w:pPr>
            <w:r w:rsidRPr="009D3AC3">
              <w:rPr>
                <w:rFonts w:cs="Arial"/>
                <w:color w:val="000000"/>
                <w:sz w:val="16"/>
                <w:szCs w:val="16"/>
                <w:lang w:bidi="ks-Deva"/>
              </w:rPr>
              <w:t>% Cànon Variable ofert</w:t>
            </w:r>
          </w:p>
        </w:tc>
        <w:tc>
          <w:tcPr>
            <w:tcW w:w="126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A4396E">
              <w:rPr>
                <w:rFonts w:cs="Arial"/>
                <w:b/>
                <w:color w:val="000000"/>
                <w:sz w:val="16"/>
                <w:szCs w:val="16"/>
                <w:lang w:bidi="ks-Deva"/>
              </w:rPr>
              <w:t>3%</w:t>
            </w:r>
          </w:p>
        </w:tc>
        <w:tc>
          <w:tcPr>
            <w:tcW w:w="126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A4396E">
              <w:rPr>
                <w:rFonts w:cs="Arial"/>
                <w:b/>
                <w:color w:val="000000"/>
                <w:sz w:val="16"/>
                <w:szCs w:val="16"/>
                <w:lang w:bidi="ks-Deva"/>
              </w:rPr>
              <w:t>3%</w:t>
            </w:r>
          </w:p>
        </w:tc>
        <w:tc>
          <w:tcPr>
            <w:tcW w:w="142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A4396E">
              <w:rPr>
                <w:rFonts w:cs="Arial"/>
                <w:b/>
                <w:color w:val="000000"/>
                <w:sz w:val="16"/>
                <w:szCs w:val="16"/>
                <w:lang w:bidi="ks-Deva"/>
              </w:rPr>
              <w:t>3%</w:t>
            </w:r>
          </w:p>
        </w:tc>
        <w:tc>
          <w:tcPr>
            <w:tcW w:w="1360" w:type="dxa"/>
            <w:tcBorders>
              <w:top w:val="nil"/>
              <w:left w:val="nil"/>
              <w:bottom w:val="nil"/>
              <w:right w:val="single" w:sz="8"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A4396E">
              <w:rPr>
                <w:rFonts w:cs="Arial"/>
                <w:b/>
                <w:color w:val="000000"/>
                <w:sz w:val="16"/>
                <w:szCs w:val="16"/>
                <w:lang w:bidi="ks-Deva"/>
              </w:rPr>
              <w:t>3%</w:t>
            </w:r>
          </w:p>
        </w:tc>
      </w:tr>
      <w:tr w:rsidR="00B11A75" w:rsidRPr="006F6311" w:rsidTr="000634B2">
        <w:trPr>
          <w:trHeight w:val="29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035B7A" w:rsidRDefault="00B11A75" w:rsidP="000634B2">
            <w:pPr>
              <w:rPr>
                <w:rFonts w:cs="Arial"/>
                <w:color w:val="000000"/>
                <w:sz w:val="16"/>
                <w:szCs w:val="16"/>
                <w:highlight w:val="yellow"/>
                <w:lang w:bidi="ks-Deva"/>
              </w:rPr>
            </w:pPr>
            <w:r w:rsidRPr="009D3AC3">
              <w:rPr>
                <w:rFonts w:cs="Arial"/>
                <w:color w:val="000000"/>
                <w:sz w:val="16"/>
                <w:szCs w:val="16"/>
                <w:lang w:bidi="ks-Deva"/>
              </w:rPr>
              <w:t>Cànon fixe</w:t>
            </w:r>
          </w:p>
        </w:tc>
        <w:tc>
          <w:tcPr>
            <w:tcW w:w="126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6F6311">
              <w:rPr>
                <w:rFonts w:cs="Arial"/>
                <w:color w:val="000000"/>
                <w:sz w:val="16"/>
                <w:szCs w:val="16"/>
                <w:lang w:bidi="ks-Deva"/>
              </w:rPr>
              <w:t>6.000,00 €</w:t>
            </w:r>
          </w:p>
        </w:tc>
        <w:tc>
          <w:tcPr>
            <w:tcW w:w="126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6F6311">
              <w:rPr>
                <w:rFonts w:cs="Arial"/>
                <w:color w:val="000000"/>
                <w:sz w:val="16"/>
                <w:szCs w:val="16"/>
                <w:lang w:bidi="ks-Deva"/>
              </w:rPr>
              <w:t>6.000,00 €</w:t>
            </w:r>
          </w:p>
        </w:tc>
        <w:tc>
          <w:tcPr>
            <w:tcW w:w="1420" w:type="dxa"/>
            <w:tcBorders>
              <w:top w:val="nil"/>
              <w:left w:val="nil"/>
              <w:bottom w:val="nil"/>
              <w:right w:val="single" w:sz="4"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6F6311">
              <w:rPr>
                <w:rFonts w:cs="Arial"/>
                <w:color w:val="000000"/>
                <w:sz w:val="16"/>
                <w:szCs w:val="16"/>
                <w:lang w:bidi="ks-Deva"/>
              </w:rPr>
              <w:t>6.000,00 €</w:t>
            </w:r>
          </w:p>
        </w:tc>
        <w:tc>
          <w:tcPr>
            <w:tcW w:w="1360" w:type="dxa"/>
            <w:tcBorders>
              <w:top w:val="nil"/>
              <w:left w:val="nil"/>
              <w:bottom w:val="nil"/>
              <w:right w:val="single" w:sz="8" w:space="0" w:color="auto"/>
            </w:tcBorders>
            <w:shd w:val="clear" w:color="auto" w:fill="auto"/>
            <w:noWrap/>
            <w:vAlign w:val="bottom"/>
            <w:hideMark/>
          </w:tcPr>
          <w:p w:rsidR="00B11A75" w:rsidRPr="00035B7A" w:rsidRDefault="00B11A75" w:rsidP="000634B2">
            <w:pPr>
              <w:jc w:val="right"/>
              <w:rPr>
                <w:rFonts w:cs="Arial"/>
                <w:color w:val="000000"/>
                <w:sz w:val="16"/>
                <w:szCs w:val="16"/>
                <w:highlight w:val="yellow"/>
                <w:lang w:bidi="ks-Deva"/>
              </w:rPr>
            </w:pPr>
            <w:r w:rsidRPr="006F6311">
              <w:rPr>
                <w:rFonts w:cs="Arial"/>
                <w:color w:val="000000"/>
                <w:sz w:val="16"/>
                <w:szCs w:val="16"/>
                <w:lang w:bidi="ks-Deva"/>
              </w:rPr>
              <w:t>6.000,00 €</w:t>
            </w:r>
          </w:p>
        </w:tc>
      </w:tr>
      <w:tr w:rsidR="00B11A75" w:rsidRPr="009D3AC3" w:rsidTr="000634B2">
        <w:trPr>
          <w:trHeight w:val="29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xml:space="preserve">Càlcul </w:t>
            </w:r>
            <w:r w:rsidRPr="009D3AC3">
              <w:rPr>
                <w:rFonts w:cs="Arial"/>
                <w:color w:val="000000"/>
                <w:sz w:val="16"/>
                <w:szCs w:val="16"/>
                <w:lang w:bidi="ks-Deva"/>
              </w:rPr>
              <w:t>cànon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12.000,00 €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15.000,00 €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18.000,00 €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21.000,00 €</w:t>
            </w:r>
          </w:p>
        </w:tc>
      </w:tr>
      <w:tr w:rsidR="00B11A75" w:rsidRPr="009D3AC3" w:rsidTr="000634B2">
        <w:trPr>
          <w:trHeight w:val="29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b/>
                <w:bCs/>
                <w:color w:val="000000"/>
                <w:sz w:val="16"/>
                <w:szCs w:val="16"/>
                <w:lang w:bidi="ks-Deva"/>
              </w:rPr>
            </w:pPr>
            <w:r w:rsidRPr="009D3AC3">
              <w:rPr>
                <w:rFonts w:cs="Arial"/>
                <w:color w:val="000000"/>
                <w:sz w:val="16"/>
                <w:szCs w:val="16"/>
                <w:lang w:bidi="ks-Deva"/>
              </w:rPr>
              <w:t xml:space="preserve">Benefici </w:t>
            </w:r>
            <w:r>
              <w:rPr>
                <w:rFonts w:cs="Arial"/>
                <w:color w:val="000000"/>
                <w:sz w:val="16"/>
                <w:szCs w:val="16"/>
                <w:lang w:bidi="ks-Deva"/>
              </w:rPr>
              <w:t>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b/>
                <w:bCs/>
                <w:color w:val="000000"/>
                <w:sz w:val="16"/>
                <w:szCs w:val="16"/>
                <w:lang w:bidi="ks-Deva"/>
              </w:rPr>
            </w:pPr>
            <w:r w:rsidRPr="009D3AC3">
              <w:rPr>
                <w:rFonts w:cs="Arial"/>
                <w:color w:val="000000"/>
                <w:sz w:val="16"/>
                <w:szCs w:val="16"/>
                <w:lang w:bidi="ks-Deva"/>
              </w:rPr>
              <w:t>12.000,00 €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b/>
                <w:bCs/>
                <w:color w:val="000000"/>
                <w:sz w:val="16"/>
                <w:szCs w:val="16"/>
                <w:lang w:bidi="ks-Deva"/>
              </w:rPr>
            </w:pPr>
            <w:r w:rsidRPr="009D3AC3">
              <w:rPr>
                <w:rFonts w:cs="Arial"/>
                <w:color w:val="000000"/>
                <w:sz w:val="16"/>
                <w:szCs w:val="16"/>
                <w:lang w:bidi="ks-Deva"/>
              </w:rPr>
              <w:t>39.000,00 €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b/>
                <w:bCs/>
                <w:color w:val="000000"/>
                <w:sz w:val="16"/>
                <w:szCs w:val="16"/>
                <w:lang w:bidi="ks-Deva"/>
              </w:rPr>
            </w:pPr>
            <w:r w:rsidRPr="009D3AC3">
              <w:rPr>
                <w:rFonts w:cs="Arial"/>
                <w:color w:val="000000"/>
                <w:sz w:val="16"/>
                <w:szCs w:val="16"/>
                <w:lang w:bidi="ks-Deva"/>
              </w:rPr>
              <w:t>76.000,00 €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b/>
                <w:bCs/>
                <w:color w:val="000000"/>
                <w:sz w:val="16"/>
                <w:szCs w:val="16"/>
                <w:lang w:bidi="ks-Deva"/>
              </w:rPr>
            </w:pPr>
            <w:r w:rsidRPr="009D3AC3">
              <w:rPr>
                <w:rFonts w:cs="Arial"/>
                <w:color w:val="000000"/>
                <w:sz w:val="16"/>
                <w:szCs w:val="16"/>
                <w:lang w:bidi="ks-Deva"/>
              </w:rPr>
              <w:t>98.000,00 €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Benefici 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3,00%</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7,80%</w:t>
            </w:r>
          </w:p>
        </w:tc>
        <w:tc>
          <w:tcPr>
            <w:tcW w:w="142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12,67%</w:t>
            </w:r>
          </w:p>
        </w:tc>
        <w:tc>
          <w:tcPr>
            <w:tcW w:w="13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9D3AC3">
              <w:rPr>
                <w:rFonts w:cs="Arial"/>
                <w:color w:val="000000"/>
                <w:sz w:val="16"/>
                <w:szCs w:val="16"/>
                <w:lang w:bidi="ks-Deva"/>
              </w:rPr>
              <w:t>14</w:t>
            </w:r>
            <w:r>
              <w:rPr>
                <w:rFonts w:cs="Arial"/>
                <w:color w:val="000000"/>
                <w:sz w:val="16"/>
                <w:szCs w:val="16"/>
                <w:lang w:bidi="ks-Deva"/>
              </w:rPr>
              <w:t>,00%</w:t>
            </w:r>
          </w:p>
        </w:tc>
      </w:tr>
      <w:tr w:rsidR="00B11A75" w:rsidRPr="009D3AC3" w:rsidTr="000634B2">
        <w:trPr>
          <w:trHeight w:val="280"/>
        </w:trPr>
        <w:tc>
          <w:tcPr>
            <w:tcW w:w="3472" w:type="dxa"/>
            <w:tcBorders>
              <w:top w:val="single" w:sz="4" w:space="0" w:color="auto"/>
              <w:left w:val="single" w:sz="8" w:space="0" w:color="auto"/>
              <w:bottom w:val="nil"/>
              <w:right w:val="single" w:sz="4" w:space="0" w:color="auto"/>
            </w:tcBorders>
            <w:shd w:val="clear" w:color="auto" w:fill="auto"/>
            <w:noWrap/>
            <w:vAlign w:val="bottom"/>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Cànon Variable ofert</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4%</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4%</w:t>
            </w:r>
          </w:p>
        </w:tc>
        <w:tc>
          <w:tcPr>
            <w:tcW w:w="142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4%</w:t>
            </w:r>
          </w:p>
        </w:tc>
        <w:tc>
          <w:tcPr>
            <w:tcW w:w="1360" w:type="dxa"/>
            <w:tcBorders>
              <w:top w:val="single" w:sz="4" w:space="0" w:color="auto"/>
              <w:left w:val="nil"/>
              <w:bottom w:val="nil"/>
              <w:right w:val="single" w:sz="8"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4%</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Cànon fixe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xml:space="preserve">Càlcul </w:t>
            </w:r>
            <w:r w:rsidRPr="009D3AC3">
              <w:rPr>
                <w:rFonts w:cs="Arial"/>
                <w:color w:val="000000"/>
                <w:sz w:val="16"/>
                <w:szCs w:val="16"/>
                <w:lang w:bidi="ks-Deva"/>
              </w:rPr>
              <w:t>cànon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16.000,00 €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20.000,00 €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24.000,00 €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28.000,00 €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xml:space="preserve">Benefici </w:t>
            </w:r>
            <w:r>
              <w:rPr>
                <w:rFonts w:cs="Arial"/>
                <w:color w:val="000000"/>
                <w:sz w:val="16"/>
                <w:szCs w:val="16"/>
                <w:lang w:bidi="ks-Deva"/>
              </w:rPr>
              <w:t>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8.000,00 €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34.000,00 €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70.000,00 €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91.000,00 €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Benefici 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2,00%</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6,80%</w:t>
            </w:r>
          </w:p>
        </w:tc>
        <w:tc>
          <w:tcPr>
            <w:tcW w:w="142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Pr>
                <w:rFonts w:cs="Arial"/>
                <w:color w:val="000000"/>
                <w:sz w:val="16"/>
                <w:szCs w:val="16"/>
                <w:lang w:bidi="ks-Deva"/>
              </w:rPr>
              <w:t>11,67%</w:t>
            </w:r>
          </w:p>
        </w:tc>
        <w:tc>
          <w:tcPr>
            <w:tcW w:w="13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9D3AC3">
              <w:rPr>
                <w:rFonts w:cs="Arial"/>
                <w:color w:val="000000"/>
                <w:sz w:val="16"/>
                <w:szCs w:val="16"/>
                <w:lang w:bidi="ks-Deva"/>
              </w:rPr>
              <w:t>13</w:t>
            </w:r>
            <w:r>
              <w:rPr>
                <w:rFonts w:cs="Arial"/>
                <w:color w:val="000000"/>
                <w:sz w:val="16"/>
                <w:szCs w:val="16"/>
                <w:lang w:bidi="ks-Deva"/>
              </w:rPr>
              <w:t>,00%</w:t>
            </w:r>
          </w:p>
        </w:tc>
      </w:tr>
      <w:tr w:rsidR="00B11A75" w:rsidRPr="009D3AC3" w:rsidTr="000634B2">
        <w:trPr>
          <w:trHeight w:val="280"/>
        </w:trPr>
        <w:tc>
          <w:tcPr>
            <w:tcW w:w="3472" w:type="dxa"/>
            <w:tcBorders>
              <w:top w:val="single" w:sz="4" w:space="0" w:color="auto"/>
              <w:left w:val="single" w:sz="8" w:space="0" w:color="auto"/>
              <w:bottom w:val="nil"/>
              <w:right w:val="single" w:sz="4" w:space="0" w:color="auto"/>
            </w:tcBorders>
            <w:shd w:val="clear" w:color="auto" w:fill="auto"/>
            <w:noWrap/>
            <w:vAlign w:val="bottom"/>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Cànon Variable ofert</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5%</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5%</w:t>
            </w:r>
          </w:p>
        </w:tc>
        <w:tc>
          <w:tcPr>
            <w:tcW w:w="142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5%</w:t>
            </w:r>
          </w:p>
        </w:tc>
        <w:tc>
          <w:tcPr>
            <w:tcW w:w="1360" w:type="dxa"/>
            <w:tcBorders>
              <w:top w:val="single" w:sz="4" w:space="0" w:color="auto"/>
              <w:left w:val="nil"/>
              <w:bottom w:val="nil"/>
              <w:right w:val="single" w:sz="8"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A4396E">
              <w:rPr>
                <w:rFonts w:cs="Arial"/>
                <w:b/>
                <w:color w:val="000000"/>
                <w:sz w:val="16"/>
                <w:szCs w:val="16"/>
                <w:lang w:bidi="ks-Deva"/>
              </w:rPr>
              <w:t>5%</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Cànon fixe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xml:space="preserve">Càlcul </w:t>
            </w:r>
            <w:r w:rsidRPr="009D3AC3">
              <w:rPr>
                <w:rFonts w:cs="Arial"/>
                <w:color w:val="000000"/>
                <w:sz w:val="16"/>
                <w:szCs w:val="16"/>
                <w:lang w:bidi="ks-Deva"/>
              </w:rPr>
              <w:t>cànon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20.000,00 €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25.000,00 €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30.000,00 €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35.000,00 €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xml:space="preserve">Benefici </w:t>
            </w:r>
            <w:r>
              <w:rPr>
                <w:rFonts w:cs="Arial"/>
                <w:color w:val="000000"/>
                <w:sz w:val="16"/>
                <w:szCs w:val="16"/>
                <w:lang w:bidi="ks-Deva"/>
              </w:rPr>
              <w:t>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4.000,00 €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29.000,00 €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64.000,00 €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9D3AC3">
              <w:rPr>
                <w:rFonts w:cs="Arial"/>
                <w:color w:val="000000"/>
                <w:sz w:val="16"/>
                <w:szCs w:val="16"/>
                <w:lang w:bidi="ks-Deva"/>
              </w:rPr>
              <w:t>84.000,00 €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Benefici 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C11ABE">
              <w:rPr>
                <w:rFonts w:cs="Arial"/>
                <w:color w:val="000000"/>
                <w:sz w:val="16"/>
                <w:szCs w:val="16"/>
                <w:lang w:bidi="ks-Deva"/>
              </w:rPr>
              <w:t>1,00%</w:t>
            </w:r>
          </w:p>
        </w:tc>
        <w:tc>
          <w:tcPr>
            <w:tcW w:w="12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C11ABE">
              <w:rPr>
                <w:rFonts w:cs="Arial"/>
                <w:color w:val="000000"/>
                <w:sz w:val="16"/>
                <w:szCs w:val="16"/>
                <w:lang w:bidi="ks-Deva"/>
              </w:rPr>
              <w:t>5,80%</w:t>
            </w:r>
          </w:p>
        </w:tc>
        <w:tc>
          <w:tcPr>
            <w:tcW w:w="142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C11ABE">
              <w:rPr>
                <w:rFonts w:cs="Arial"/>
                <w:color w:val="000000"/>
                <w:sz w:val="16"/>
                <w:szCs w:val="16"/>
                <w:lang w:bidi="ks-Deva"/>
              </w:rPr>
              <w:t>10,67%</w:t>
            </w:r>
          </w:p>
        </w:tc>
        <w:tc>
          <w:tcPr>
            <w:tcW w:w="1360" w:type="dxa"/>
            <w:tcBorders>
              <w:top w:val="nil"/>
              <w:left w:val="nil"/>
              <w:bottom w:val="nil"/>
              <w:right w:val="single" w:sz="4" w:space="0" w:color="auto"/>
            </w:tcBorders>
            <w:shd w:val="clear" w:color="auto" w:fill="auto"/>
            <w:noWrap/>
            <w:vAlign w:val="bottom"/>
            <w:hideMark/>
          </w:tcPr>
          <w:p w:rsidR="00B11A75" w:rsidRPr="00A4396E" w:rsidRDefault="00B11A75" w:rsidP="000634B2">
            <w:pPr>
              <w:jc w:val="right"/>
              <w:rPr>
                <w:rFonts w:cs="Arial"/>
                <w:b/>
                <w:color w:val="000000"/>
                <w:sz w:val="16"/>
                <w:szCs w:val="16"/>
                <w:lang w:bidi="ks-Deva"/>
              </w:rPr>
            </w:pPr>
            <w:r w:rsidRPr="00C11ABE">
              <w:rPr>
                <w:rFonts w:cs="Arial"/>
                <w:color w:val="000000"/>
                <w:sz w:val="16"/>
                <w:szCs w:val="16"/>
                <w:lang w:bidi="ks-Deva"/>
              </w:rPr>
              <w:t>12,00%</w:t>
            </w:r>
          </w:p>
        </w:tc>
      </w:tr>
      <w:tr w:rsidR="00B11A75" w:rsidRPr="009D3AC3" w:rsidTr="000634B2">
        <w:trPr>
          <w:trHeight w:val="280"/>
        </w:trPr>
        <w:tc>
          <w:tcPr>
            <w:tcW w:w="3472" w:type="dxa"/>
            <w:tcBorders>
              <w:top w:val="single" w:sz="4" w:space="0" w:color="auto"/>
              <w:left w:val="single" w:sz="8" w:space="0" w:color="auto"/>
              <w:bottom w:val="nil"/>
              <w:right w:val="single" w:sz="4" w:space="0" w:color="auto"/>
            </w:tcBorders>
            <w:shd w:val="clear" w:color="auto" w:fill="auto"/>
            <w:noWrap/>
            <w:vAlign w:val="bottom"/>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Cànon Variable ofert</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C11ABE">
              <w:rPr>
                <w:rFonts w:cs="Arial"/>
                <w:b/>
                <w:color w:val="000000"/>
                <w:sz w:val="16"/>
                <w:szCs w:val="16"/>
                <w:lang w:bidi="ks-Deva"/>
              </w:rPr>
              <w:t>6%</w:t>
            </w:r>
          </w:p>
        </w:tc>
        <w:tc>
          <w:tcPr>
            <w:tcW w:w="126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C11ABE">
              <w:rPr>
                <w:rFonts w:cs="Arial"/>
                <w:b/>
                <w:color w:val="000000"/>
                <w:sz w:val="16"/>
                <w:szCs w:val="16"/>
                <w:lang w:bidi="ks-Deva"/>
              </w:rPr>
              <w:t>6%</w:t>
            </w:r>
          </w:p>
        </w:tc>
        <w:tc>
          <w:tcPr>
            <w:tcW w:w="1420" w:type="dxa"/>
            <w:tcBorders>
              <w:top w:val="single" w:sz="4" w:space="0" w:color="auto"/>
              <w:left w:val="nil"/>
              <w:bottom w:val="nil"/>
              <w:right w:val="single" w:sz="4"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C11ABE">
              <w:rPr>
                <w:rFonts w:cs="Arial"/>
                <w:b/>
                <w:color w:val="000000"/>
                <w:sz w:val="16"/>
                <w:szCs w:val="16"/>
                <w:lang w:bidi="ks-Deva"/>
              </w:rPr>
              <w:t>6%</w:t>
            </w:r>
          </w:p>
        </w:tc>
        <w:tc>
          <w:tcPr>
            <w:tcW w:w="1360" w:type="dxa"/>
            <w:tcBorders>
              <w:top w:val="single" w:sz="4" w:space="0" w:color="auto"/>
              <w:left w:val="nil"/>
              <w:bottom w:val="nil"/>
              <w:right w:val="single" w:sz="8" w:space="0" w:color="auto"/>
            </w:tcBorders>
            <w:shd w:val="clear" w:color="auto" w:fill="auto"/>
            <w:noWrap/>
            <w:vAlign w:val="bottom"/>
          </w:tcPr>
          <w:p w:rsidR="00B11A75" w:rsidRPr="006F6311" w:rsidRDefault="00B11A75" w:rsidP="000634B2">
            <w:pPr>
              <w:jc w:val="right"/>
              <w:rPr>
                <w:rFonts w:cs="Arial"/>
                <w:color w:val="000000"/>
                <w:sz w:val="16"/>
                <w:szCs w:val="16"/>
                <w:lang w:bidi="ks-Deva"/>
              </w:rPr>
            </w:pPr>
            <w:r w:rsidRPr="00C11ABE">
              <w:rPr>
                <w:rFonts w:cs="Arial"/>
                <w:b/>
                <w:color w:val="000000"/>
                <w:sz w:val="16"/>
                <w:szCs w:val="16"/>
                <w:lang w:bidi="ks-Deva"/>
              </w:rPr>
              <w:t>6%</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Cànon fixe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6F6311">
              <w:rPr>
                <w:rFonts w:cs="Arial"/>
                <w:color w:val="000000"/>
                <w:sz w:val="16"/>
                <w:szCs w:val="16"/>
                <w:lang w:bidi="ks-Deva"/>
              </w:rPr>
              <w:t>6.000,00 €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xml:space="preserve">Càlcul </w:t>
            </w:r>
            <w:r w:rsidRPr="009D3AC3">
              <w:rPr>
                <w:rFonts w:cs="Arial"/>
                <w:color w:val="000000"/>
                <w:sz w:val="16"/>
                <w:szCs w:val="16"/>
                <w:lang w:bidi="ks-Deva"/>
              </w:rPr>
              <w:t>cànon variable</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C11ABE">
              <w:rPr>
                <w:rFonts w:cs="Arial"/>
                <w:color w:val="000000"/>
                <w:sz w:val="16"/>
                <w:szCs w:val="16"/>
                <w:lang w:bidi="ks-Deva"/>
              </w:rPr>
              <w:t>24.000,00 €</w:t>
            </w:r>
          </w:p>
        </w:tc>
        <w:tc>
          <w:tcPr>
            <w:tcW w:w="126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C11ABE">
              <w:rPr>
                <w:rFonts w:cs="Arial"/>
                <w:color w:val="000000"/>
                <w:sz w:val="16"/>
                <w:szCs w:val="16"/>
                <w:lang w:bidi="ks-Deva"/>
              </w:rPr>
              <w:t>30.000,00 €</w:t>
            </w:r>
          </w:p>
        </w:tc>
        <w:tc>
          <w:tcPr>
            <w:tcW w:w="1420" w:type="dxa"/>
            <w:tcBorders>
              <w:top w:val="nil"/>
              <w:left w:val="nil"/>
              <w:bottom w:val="nil"/>
              <w:right w:val="single" w:sz="4"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C11ABE">
              <w:rPr>
                <w:rFonts w:cs="Arial"/>
                <w:color w:val="000000"/>
                <w:sz w:val="16"/>
                <w:szCs w:val="16"/>
                <w:lang w:bidi="ks-Deva"/>
              </w:rPr>
              <w:t>36.000,00 €</w:t>
            </w:r>
          </w:p>
        </w:tc>
        <w:tc>
          <w:tcPr>
            <w:tcW w:w="1360" w:type="dxa"/>
            <w:tcBorders>
              <w:top w:val="nil"/>
              <w:left w:val="nil"/>
              <w:bottom w:val="nil"/>
              <w:right w:val="single" w:sz="8" w:space="0" w:color="auto"/>
            </w:tcBorders>
            <w:shd w:val="clear" w:color="auto" w:fill="auto"/>
            <w:noWrap/>
            <w:vAlign w:val="bottom"/>
            <w:hideMark/>
          </w:tcPr>
          <w:p w:rsidR="00B11A75" w:rsidRPr="009D3AC3" w:rsidRDefault="00B11A75" w:rsidP="000634B2">
            <w:pPr>
              <w:jc w:val="right"/>
              <w:rPr>
                <w:rFonts w:cs="Arial"/>
                <w:color w:val="000000"/>
                <w:sz w:val="16"/>
                <w:szCs w:val="16"/>
                <w:lang w:bidi="ks-Deva"/>
              </w:rPr>
            </w:pPr>
            <w:r w:rsidRPr="00C11ABE">
              <w:rPr>
                <w:rFonts w:cs="Arial"/>
                <w:color w:val="000000"/>
                <w:sz w:val="16"/>
                <w:szCs w:val="16"/>
                <w:lang w:bidi="ks-Deva"/>
              </w:rPr>
              <w:t>42.000,00 €</w:t>
            </w:r>
          </w:p>
        </w:tc>
      </w:tr>
      <w:tr w:rsidR="00B11A75" w:rsidRPr="009D3AC3" w:rsidTr="000634B2">
        <w:trPr>
          <w:trHeight w:val="280"/>
        </w:trPr>
        <w:tc>
          <w:tcPr>
            <w:tcW w:w="3472" w:type="dxa"/>
            <w:tcBorders>
              <w:top w:val="nil"/>
              <w:left w:val="single" w:sz="8" w:space="0" w:color="auto"/>
              <w:bottom w:val="nil"/>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sidRPr="009D3AC3">
              <w:rPr>
                <w:rFonts w:cs="Arial"/>
                <w:color w:val="000000"/>
                <w:sz w:val="16"/>
                <w:szCs w:val="16"/>
                <w:lang w:bidi="ks-Deva"/>
              </w:rPr>
              <w:t xml:space="preserve">Benefici </w:t>
            </w:r>
            <w:r>
              <w:rPr>
                <w:rFonts w:cs="Arial"/>
                <w:color w:val="000000"/>
                <w:sz w:val="16"/>
                <w:szCs w:val="16"/>
                <w:lang w:bidi="ks-Deva"/>
              </w:rPr>
              <w:t>després cànon (fix i variable)</w:t>
            </w:r>
          </w:p>
        </w:tc>
        <w:tc>
          <w:tcPr>
            <w:tcW w:w="1260" w:type="dxa"/>
            <w:tcBorders>
              <w:top w:val="nil"/>
              <w:left w:val="nil"/>
              <w:bottom w:val="nil"/>
              <w:right w:val="single" w:sz="4" w:space="0" w:color="auto"/>
            </w:tcBorders>
            <w:shd w:val="clear" w:color="auto" w:fill="auto"/>
            <w:noWrap/>
            <w:vAlign w:val="bottom"/>
            <w:hideMark/>
          </w:tcPr>
          <w:p w:rsidR="00B11A75" w:rsidRPr="00C11ABE" w:rsidRDefault="00B11A75" w:rsidP="000634B2">
            <w:pPr>
              <w:jc w:val="right"/>
              <w:rPr>
                <w:rFonts w:cs="Arial"/>
                <w:color w:val="000000"/>
                <w:sz w:val="16"/>
                <w:szCs w:val="16"/>
                <w:lang w:bidi="ks-Deva"/>
              </w:rPr>
            </w:pPr>
            <w:r w:rsidRPr="00C11ABE">
              <w:rPr>
                <w:rFonts w:cs="Arial"/>
                <w:color w:val="000000"/>
                <w:sz w:val="16"/>
                <w:szCs w:val="16"/>
                <w:lang w:bidi="ks-Deva"/>
              </w:rPr>
              <w:t>0,00 €</w:t>
            </w:r>
          </w:p>
        </w:tc>
        <w:tc>
          <w:tcPr>
            <w:tcW w:w="1260" w:type="dxa"/>
            <w:tcBorders>
              <w:top w:val="nil"/>
              <w:left w:val="nil"/>
              <w:bottom w:val="nil"/>
              <w:right w:val="single" w:sz="4" w:space="0" w:color="auto"/>
            </w:tcBorders>
            <w:shd w:val="clear" w:color="auto" w:fill="auto"/>
            <w:noWrap/>
            <w:vAlign w:val="bottom"/>
            <w:hideMark/>
          </w:tcPr>
          <w:p w:rsidR="00B11A75" w:rsidRPr="00C11ABE" w:rsidRDefault="00B11A75" w:rsidP="000634B2">
            <w:pPr>
              <w:jc w:val="right"/>
              <w:rPr>
                <w:rFonts w:cs="Arial"/>
                <w:color w:val="000000"/>
                <w:sz w:val="16"/>
                <w:szCs w:val="16"/>
                <w:lang w:bidi="ks-Deva"/>
              </w:rPr>
            </w:pPr>
            <w:r w:rsidRPr="00C11ABE">
              <w:rPr>
                <w:rFonts w:cs="Arial"/>
                <w:color w:val="000000"/>
                <w:sz w:val="16"/>
                <w:szCs w:val="16"/>
                <w:lang w:bidi="ks-Deva"/>
              </w:rPr>
              <w:t>24.000,00 €</w:t>
            </w:r>
          </w:p>
        </w:tc>
        <w:tc>
          <w:tcPr>
            <w:tcW w:w="1420" w:type="dxa"/>
            <w:tcBorders>
              <w:top w:val="nil"/>
              <w:left w:val="nil"/>
              <w:bottom w:val="nil"/>
              <w:right w:val="single" w:sz="4" w:space="0" w:color="auto"/>
            </w:tcBorders>
            <w:shd w:val="clear" w:color="auto" w:fill="auto"/>
            <w:noWrap/>
            <w:vAlign w:val="bottom"/>
            <w:hideMark/>
          </w:tcPr>
          <w:p w:rsidR="00B11A75" w:rsidRPr="00C11ABE" w:rsidRDefault="00B11A75" w:rsidP="000634B2">
            <w:pPr>
              <w:jc w:val="right"/>
              <w:rPr>
                <w:rFonts w:cs="Arial"/>
                <w:color w:val="000000"/>
                <w:sz w:val="16"/>
                <w:szCs w:val="16"/>
                <w:lang w:bidi="ks-Deva"/>
              </w:rPr>
            </w:pPr>
            <w:r w:rsidRPr="00C11ABE">
              <w:rPr>
                <w:rFonts w:cs="Arial"/>
                <w:color w:val="000000"/>
                <w:sz w:val="16"/>
                <w:szCs w:val="16"/>
                <w:lang w:bidi="ks-Deva"/>
              </w:rPr>
              <w:t>58.000,00 €</w:t>
            </w:r>
          </w:p>
        </w:tc>
        <w:tc>
          <w:tcPr>
            <w:tcW w:w="1360" w:type="dxa"/>
            <w:tcBorders>
              <w:top w:val="nil"/>
              <w:left w:val="nil"/>
              <w:bottom w:val="nil"/>
              <w:right w:val="single" w:sz="8" w:space="0" w:color="auto"/>
            </w:tcBorders>
            <w:shd w:val="clear" w:color="auto" w:fill="auto"/>
            <w:noWrap/>
            <w:vAlign w:val="bottom"/>
            <w:hideMark/>
          </w:tcPr>
          <w:p w:rsidR="00B11A75" w:rsidRPr="00C11ABE" w:rsidRDefault="00B11A75" w:rsidP="000634B2">
            <w:pPr>
              <w:jc w:val="right"/>
              <w:rPr>
                <w:rFonts w:cs="Arial"/>
                <w:color w:val="000000"/>
                <w:sz w:val="16"/>
                <w:szCs w:val="16"/>
                <w:lang w:bidi="ks-Deva"/>
              </w:rPr>
            </w:pPr>
            <w:r w:rsidRPr="00C11ABE">
              <w:rPr>
                <w:rFonts w:cs="Arial"/>
                <w:color w:val="000000"/>
                <w:sz w:val="16"/>
                <w:szCs w:val="16"/>
                <w:lang w:bidi="ks-Deva"/>
              </w:rPr>
              <w:t>77.000,00 €</w:t>
            </w:r>
          </w:p>
        </w:tc>
      </w:tr>
      <w:tr w:rsidR="00B11A75" w:rsidRPr="009D3AC3" w:rsidTr="000634B2">
        <w:trPr>
          <w:trHeight w:val="280"/>
        </w:trPr>
        <w:tc>
          <w:tcPr>
            <w:tcW w:w="3472" w:type="dxa"/>
            <w:tcBorders>
              <w:top w:val="nil"/>
              <w:left w:val="single" w:sz="8" w:space="0" w:color="auto"/>
              <w:bottom w:val="single" w:sz="8" w:space="0" w:color="auto"/>
              <w:right w:val="single" w:sz="4" w:space="0" w:color="auto"/>
            </w:tcBorders>
            <w:shd w:val="clear" w:color="auto" w:fill="auto"/>
            <w:noWrap/>
            <w:vAlign w:val="bottom"/>
            <w:hideMark/>
          </w:tcPr>
          <w:p w:rsidR="00B11A75" w:rsidRPr="009D3AC3" w:rsidRDefault="00B11A75" w:rsidP="000634B2">
            <w:pPr>
              <w:rPr>
                <w:rFonts w:cs="Arial"/>
                <w:color w:val="000000"/>
                <w:sz w:val="16"/>
                <w:szCs w:val="16"/>
                <w:lang w:bidi="ks-Deva"/>
              </w:rPr>
            </w:pPr>
            <w:r>
              <w:rPr>
                <w:rFonts w:cs="Arial"/>
                <w:color w:val="000000"/>
                <w:sz w:val="16"/>
                <w:szCs w:val="16"/>
                <w:lang w:bidi="ks-Deva"/>
              </w:rPr>
              <w:t>% Benefici després cànon (fix i variable)</w:t>
            </w:r>
          </w:p>
        </w:tc>
        <w:tc>
          <w:tcPr>
            <w:tcW w:w="1260" w:type="dxa"/>
            <w:tcBorders>
              <w:top w:val="nil"/>
              <w:left w:val="nil"/>
              <w:bottom w:val="single" w:sz="8" w:space="0" w:color="auto"/>
              <w:right w:val="single" w:sz="4" w:space="0" w:color="auto"/>
            </w:tcBorders>
            <w:shd w:val="clear" w:color="auto" w:fill="auto"/>
            <w:noWrap/>
            <w:vAlign w:val="bottom"/>
            <w:hideMark/>
          </w:tcPr>
          <w:p w:rsidR="00B11A75" w:rsidRPr="00C11ABE" w:rsidRDefault="00B11A75" w:rsidP="000634B2">
            <w:pPr>
              <w:jc w:val="right"/>
              <w:rPr>
                <w:rFonts w:cs="Arial"/>
                <w:b/>
                <w:color w:val="000000"/>
                <w:sz w:val="16"/>
                <w:szCs w:val="16"/>
                <w:lang w:bidi="ks-Deva"/>
              </w:rPr>
            </w:pPr>
            <w:r w:rsidRPr="00C11ABE">
              <w:rPr>
                <w:rFonts w:cs="Arial"/>
                <w:color w:val="000000"/>
                <w:sz w:val="16"/>
                <w:szCs w:val="16"/>
                <w:lang w:bidi="ks-Deva"/>
              </w:rPr>
              <w:t>0,00%</w:t>
            </w:r>
          </w:p>
        </w:tc>
        <w:tc>
          <w:tcPr>
            <w:tcW w:w="1260" w:type="dxa"/>
            <w:tcBorders>
              <w:top w:val="nil"/>
              <w:left w:val="nil"/>
              <w:bottom w:val="single" w:sz="8" w:space="0" w:color="auto"/>
              <w:right w:val="single" w:sz="4" w:space="0" w:color="auto"/>
            </w:tcBorders>
            <w:shd w:val="clear" w:color="auto" w:fill="auto"/>
            <w:noWrap/>
            <w:vAlign w:val="bottom"/>
            <w:hideMark/>
          </w:tcPr>
          <w:p w:rsidR="00B11A75" w:rsidRPr="00C11ABE" w:rsidRDefault="00B11A75" w:rsidP="000634B2">
            <w:pPr>
              <w:jc w:val="right"/>
              <w:rPr>
                <w:rFonts w:cs="Arial"/>
                <w:b/>
                <w:color w:val="000000"/>
                <w:sz w:val="16"/>
                <w:szCs w:val="16"/>
                <w:lang w:bidi="ks-Deva"/>
              </w:rPr>
            </w:pPr>
            <w:r w:rsidRPr="00C11ABE">
              <w:rPr>
                <w:rFonts w:cs="Arial"/>
                <w:color w:val="000000"/>
                <w:sz w:val="16"/>
                <w:szCs w:val="16"/>
                <w:lang w:bidi="ks-Deva"/>
              </w:rPr>
              <w:t>4,80%</w:t>
            </w:r>
          </w:p>
        </w:tc>
        <w:tc>
          <w:tcPr>
            <w:tcW w:w="1420" w:type="dxa"/>
            <w:tcBorders>
              <w:top w:val="nil"/>
              <w:left w:val="nil"/>
              <w:bottom w:val="single" w:sz="8" w:space="0" w:color="auto"/>
              <w:right w:val="single" w:sz="4" w:space="0" w:color="auto"/>
            </w:tcBorders>
            <w:shd w:val="clear" w:color="auto" w:fill="auto"/>
            <w:noWrap/>
            <w:vAlign w:val="bottom"/>
            <w:hideMark/>
          </w:tcPr>
          <w:p w:rsidR="00B11A75" w:rsidRPr="00C11ABE" w:rsidRDefault="00B11A75" w:rsidP="000634B2">
            <w:pPr>
              <w:jc w:val="right"/>
              <w:rPr>
                <w:rFonts w:cs="Arial"/>
                <w:b/>
                <w:color w:val="000000"/>
                <w:sz w:val="16"/>
                <w:szCs w:val="16"/>
                <w:lang w:bidi="ks-Deva"/>
              </w:rPr>
            </w:pPr>
            <w:r w:rsidRPr="00C11ABE">
              <w:rPr>
                <w:rFonts w:cs="Arial"/>
                <w:color w:val="000000"/>
                <w:sz w:val="16"/>
                <w:szCs w:val="16"/>
                <w:lang w:bidi="ks-Deva"/>
              </w:rPr>
              <w:t>9,67%</w:t>
            </w:r>
          </w:p>
        </w:tc>
        <w:tc>
          <w:tcPr>
            <w:tcW w:w="1360" w:type="dxa"/>
            <w:tcBorders>
              <w:top w:val="nil"/>
              <w:left w:val="nil"/>
              <w:bottom w:val="single" w:sz="8" w:space="0" w:color="auto"/>
              <w:right w:val="single" w:sz="8" w:space="0" w:color="auto"/>
            </w:tcBorders>
            <w:shd w:val="clear" w:color="auto" w:fill="auto"/>
            <w:noWrap/>
            <w:vAlign w:val="bottom"/>
            <w:hideMark/>
          </w:tcPr>
          <w:p w:rsidR="00B11A75" w:rsidRPr="00C11ABE" w:rsidRDefault="00B11A75" w:rsidP="000634B2">
            <w:pPr>
              <w:jc w:val="right"/>
              <w:rPr>
                <w:rFonts w:cs="Arial"/>
                <w:b/>
                <w:color w:val="000000"/>
                <w:sz w:val="16"/>
                <w:szCs w:val="16"/>
                <w:lang w:bidi="ks-Deva"/>
              </w:rPr>
            </w:pPr>
            <w:r w:rsidRPr="00C11ABE">
              <w:rPr>
                <w:rFonts w:cs="Arial"/>
                <w:color w:val="000000"/>
                <w:sz w:val="16"/>
                <w:szCs w:val="16"/>
                <w:lang w:bidi="ks-Deva"/>
              </w:rPr>
              <w:t>11,00%</w:t>
            </w:r>
          </w:p>
        </w:tc>
      </w:tr>
    </w:tbl>
    <w:p w:rsidR="00B11A75" w:rsidRDefault="00B11A75" w:rsidP="00B11A75">
      <w:pPr>
        <w:rPr>
          <w:rFonts w:cs="Arial"/>
          <w:sz w:val="22"/>
          <w:szCs w:val="22"/>
        </w:rPr>
      </w:pPr>
    </w:p>
    <w:p w:rsidR="00B11A75" w:rsidRDefault="00B11A75" w:rsidP="00B11A75">
      <w:pPr>
        <w:rPr>
          <w:rFonts w:cs="Arial"/>
          <w:sz w:val="22"/>
          <w:szCs w:val="22"/>
        </w:rPr>
      </w:pPr>
    </w:p>
    <w:p w:rsidR="00B11A75" w:rsidRDefault="00B11A75" w:rsidP="00B11A75">
      <w:pPr>
        <w:rPr>
          <w:rFonts w:cs="Arial"/>
          <w:sz w:val="22"/>
          <w:szCs w:val="22"/>
        </w:rPr>
      </w:pPr>
    </w:p>
    <w:p w:rsidR="00B11A75" w:rsidRPr="00141B73" w:rsidRDefault="00B11A75" w:rsidP="00B11A75">
      <w:pPr>
        <w:pStyle w:val="Pargrafdellista"/>
        <w:numPr>
          <w:ilvl w:val="0"/>
          <w:numId w:val="2"/>
        </w:numPr>
        <w:rPr>
          <w:rFonts w:ascii="Arial" w:hAnsi="Arial" w:cs="Arial"/>
          <w:b/>
          <w:bCs/>
          <w:sz w:val="22"/>
          <w:szCs w:val="22"/>
        </w:rPr>
      </w:pPr>
      <w:r w:rsidRPr="00141B73">
        <w:rPr>
          <w:rFonts w:ascii="Arial" w:hAnsi="Arial" w:cs="Arial"/>
          <w:b/>
          <w:bCs/>
          <w:sz w:val="22"/>
          <w:szCs w:val="22"/>
        </w:rPr>
        <w:t xml:space="preserve">Comentaris i conclusions </w:t>
      </w:r>
    </w:p>
    <w:p w:rsidR="00B11A75" w:rsidRDefault="00B11A75" w:rsidP="00B11A75">
      <w:pPr>
        <w:rPr>
          <w:rFonts w:cs="Arial"/>
          <w:sz w:val="22"/>
          <w:szCs w:val="22"/>
        </w:rPr>
      </w:pPr>
    </w:p>
    <w:p w:rsidR="00B11A75" w:rsidRDefault="00B11A75" w:rsidP="00B11A75">
      <w:pPr>
        <w:ind w:left="709"/>
        <w:jc w:val="both"/>
        <w:rPr>
          <w:rFonts w:cs="Arial"/>
          <w:sz w:val="22"/>
          <w:szCs w:val="22"/>
        </w:rPr>
      </w:pPr>
      <w:r>
        <w:rPr>
          <w:rFonts w:cs="Arial"/>
          <w:sz w:val="22"/>
          <w:szCs w:val="22"/>
        </w:rPr>
        <w:t>En atenció a l’evolució històrica del compte de resultats de l’actual licitació (2015-2021) es conclou que:</w:t>
      </w:r>
    </w:p>
    <w:p w:rsidR="00B11A75" w:rsidRDefault="00B11A75" w:rsidP="00B11A75">
      <w:pPr>
        <w:jc w:val="both"/>
        <w:rPr>
          <w:rFonts w:cs="Arial"/>
          <w:sz w:val="22"/>
          <w:szCs w:val="22"/>
        </w:rPr>
      </w:pPr>
    </w:p>
    <w:p w:rsidR="00B11A75" w:rsidRPr="008D7B64" w:rsidRDefault="00B11A75" w:rsidP="00B11A75">
      <w:pPr>
        <w:pStyle w:val="Pargrafdellista"/>
        <w:numPr>
          <w:ilvl w:val="0"/>
          <w:numId w:val="3"/>
        </w:numPr>
        <w:ind w:left="1134"/>
        <w:jc w:val="both"/>
        <w:rPr>
          <w:rFonts w:ascii="Arial" w:hAnsi="Arial" w:cs="Arial"/>
          <w:sz w:val="22"/>
          <w:szCs w:val="22"/>
        </w:rPr>
      </w:pPr>
      <w:r w:rsidRPr="008D7B64">
        <w:rPr>
          <w:rFonts w:ascii="Arial" w:hAnsi="Arial" w:cs="Arial"/>
          <w:sz w:val="22"/>
          <w:szCs w:val="22"/>
        </w:rPr>
        <w:t>Els resultats del volum de vendes més representatius corresponen als exercicis 2017 a 2019, situant-se al voltant dels 600.000,00 €.</w:t>
      </w:r>
    </w:p>
    <w:p w:rsidR="00B11A75" w:rsidRPr="008D7B64" w:rsidRDefault="00B11A75" w:rsidP="00B11A75">
      <w:pPr>
        <w:pStyle w:val="Pargrafdellista"/>
        <w:numPr>
          <w:ilvl w:val="0"/>
          <w:numId w:val="0"/>
        </w:numPr>
        <w:ind w:left="1134"/>
        <w:jc w:val="both"/>
        <w:rPr>
          <w:rFonts w:ascii="Arial" w:hAnsi="Arial" w:cs="Arial"/>
          <w:sz w:val="22"/>
          <w:szCs w:val="22"/>
        </w:rPr>
      </w:pPr>
    </w:p>
    <w:p w:rsidR="00B11A75" w:rsidRPr="008D7B64" w:rsidRDefault="00B11A75" w:rsidP="00B11A75">
      <w:pPr>
        <w:pStyle w:val="Pargrafdellista"/>
        <w:numPr>
          <w:ilvl w:val="0"/>
          <w:numId w:val="3"/>
        </w:numPr>
        <w:ind w:left="1134"/>
        <w:jc w:val="both"/>
        <w:rPr>
          <w:rFonts w:ascii="Arial" w:hAnsi="Arial" w:cs="Arial"/>
          <w:sz w:val="22"/>
          <w:szCs w:val="22"/>
        </w:rPr>
      </w:pPr>
      <w:r w:rsidRPr="008D7B64">
        <w:rPr>
          <w:rFonts w:ascii="Arial" w:hAnsi="Arial" w:cs="Arial"/>
          <w:sz w:val="22"/>
          <w:szCs w:val="22"/>
        </w:rPr>
        <w:t>En cap dels escenaris proposats es produeixen resultats negatius quan a rendiment</w:t>
      </w:r>
    </w:p>
    <w:p w:rsidR="00B11A75" w:rsidRPr="008D7B64" w:rsidRDefault="00B11A75" w:rsidP="00B11A75">
      <w:pPr>
        <w:pStyle w:val="Pargrafdellista"/>
        <w:numPr>
          <w:ilvl w:val="0"/>
          <w:numId w:val="0"/>
        </w:numPr>
        <w:ind w:left="1134"/>
        <w:jc w:val="both"/>
        <w:rPr>
          <w:rFonts w:ascii="Arial" w:hAnsi="Arial" w:cs="Arial"/>
          <w:sz w:val="22"/>
          <w:szCs w:val="22"/>
        </w:rPr>
      </w:pPr>
    </w:p>
    <w:p w:rsidR="00B11A75" w:rsidRPr="008D7B64" w:rsidRDefault="00B11A75" w:rsidP="00B11A75">
      <w:pPr>
        <w:pStyle w:val="Pargrafdellista"/>
        <w:numPr>
          <w:ilvl w:val="0"/>
          <w:numId w:val="3"/>
        </w:numPr>
        <w:ind w:left="1134"/>
        <w:jc w:val="both"/>
        <w:rPr>
          <w:rFonts w:ascii="Arial" w:hAnsi="Arial" w:cs="Arial"/>
          <w:sz w:val="22"/>
          <w:szCs w:val="22"/>
        </w:rPr>
      </w:pPr>
      <w:r w:rsidRPr="008D7B64">
        <w:rPr>
          <w:rFonts w:ascii="Arial" w:hAnsi="Arial" w:cs="Arial"/>
          <w:sz w:val="22"/>
          <w:szCs w:val="22"/>
        </w:rPr>
        <w:t>L’oferta de licitació pels exercicis 2022 a 2025 està valorada en funció de la mitjana dels valors obtinguts en els exercicis 2017 a 2019 en tant que més representatius.</w:t>
      </w:r>
    </w:p>
    <w:p w:rsidR="00B11A75" w:rsidRPr="008D7B64" w:rsidRDefault="00B11A75" w:rsidP="00B11A75">
      <w:pPr>
        <w:pStyle w:val="Pargrafdellista"/>
        <w:numPr>
          <w:ilvl w:val="0"/>
          <w:numId w:val="0"/>
        </w:numPr>
        <w:ind w:left="1134"/>
        <w:jc w:val="both"/>
        <w:rPr>
          <w:rFonts w:ascii="Arial" w:hAnsi="Arial" w:cs="Arial"/>
          <w:sz w:val="22"/>
          <w:szCs w:val="22"/>
        </w:rPr>
      </w:pPr>
    </w:p>
    <w:p w:rsidR="00B11A75" w:rsidRDefault="00B11A75" w:rsidP="00B11A75">
      <w:pPr>
        <w:pStyle w:val="Pargrafdellista"/>
        <w:numPr>
          <w:ilvl w:val="0"/>
          <w:numId w:val="3"/>
        </w:numPr>
        <w:ind w:left="1134"/>
        <w:jc w:val="both"/>
      </w:pPr>
      <w:r w:rsidRPr="008D7B64">
        <w:rPr>
          <w:rFonts w:ascii="Arial" w:hAnsi="Arial" w:cs="Arial"/>
          <w:sz w:val="22"/>
          <w:szCs w:val="22"/>
        </w:rPr>
        <w:t>Es considera viable l’oferta objecte de licitació en qualsevol dels escenaris proposats.</w:t>
      </w:r>
      <w:r>
        <w:rPr>
          <w:rFonts w:ascii="Calibri" w:hAnsi="Calibri" w:cs="Calibri"/>
          <w:b/>
          <w:bCs/>
          <w:szCs w:val="24"/>
        </w:rPr>
        <w:t xml:space="preserve"> </w:t>
      </w:r>
    </w:p>
    <w:sectPr w:rsidR="00B11A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utch">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kkurat">
    <w:altName w:val="Arial"/>
    <w:charset w:val="00"/>
    <w:family w:val="auto"/>
    <w:pitch w:val="variable"/>
    <w:sig w:usb0="00000003" w:usb1="00000000" w:usb2="00000000" w:usb3="00000000" w:csb0="00000001" w:csb1="00000000"/>
  </w:font>
  <w:font w:name="Akkurat-Bold">
    <w:altName w:val="Arial"/>
    <w:panose1 w:val="00000000000000000000"/>
    <w:charset w:val="00"/>
    <w:family w:val="modern"/>
    <w:notTrueType/>
    <w:pitch w:val="variable"/>
    <w:sig w:usb0="800000AF" w:usb1="5000204A" w:usb2="00000000" w:usb3="00000000" w:csb0="000001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B6D88"/>
    <w:multiLevelType w:val="hybridMultilevel"/>
    <w:tmpl w:val="5D12F7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53F77142"/>
    <w:multiLevelType w:val="hybridMultilevel"/>
    <w:tmpl w:val="C5888424"/>
    <w:lvl w:ilvl="0" w:tplc="098CBAD4">
      <w:start w:val="1"/>
      <w:numFmt w:val="bullet"/>
      <w:pStyle w:val="Pargrafdellista"/>
      <w:lvlText w:val=""/>
      <w:lvlJc w:val="left"/>
      <w:pPr>
        <w:ind w:left="720" w:hanging="360"/>
      </w:pPr>
      <w:rPr>
        <w:rFonts w:ascii="Wingdings 3" w:hAnsi="Wingdings 3"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686831EE"/>
    <w:multiLevelType w:val="hybridMultilevel"/>
    <w:tmpl w:val="6D8ACC7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A75"/>
    <w:rsid w:val="000465CB"/>
    <w:rsid w:val="002059D2"/>
    <w:rsid w:val="006F2CCC"/>
    <w:rsid w:val="00735024"/>
    <w:rsid w:val="00B11A75"/>
    <w:rsid w:val="00FC7A9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A75"/>
    <w:pPr>
      <w:spacing w:after="0" w:line="240" w:lineRule="auto"/>
    </w:pPr>
    <w:rPr>
      <w:rFonts w:ascii="Arial" w:eastAsia="Times New Roman" w:hAnsi="Arial" w:cs="Times New Roman"/>
      <w:sz w:val="24"/>
      <w:szCs w:val="20"/>
      <w:lang w:eastAsia="ca-ES"/>
    </w:rPr>
  </w:style>
  <w:style w:type="paragraph" w:styleId="Ttol3">
    <w:name w:val="heading 3"/>
    <w:basedOn w:val="Normal"/>
    <w:next w:val="Normal"/>
    <w:link w:val="Ttol3Car"/>
    <w:uiPriority w:val="9"/>
    <w:semiHidden/>
    <w:unhideWhenUsed/>
    <w:qFormat/>
    <w:rsid w:val="00B11A75"/>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B11A75"/>
    <w:pPr>
      <w:tabs>
        <w:tab w:val="center" w:pos="4419"/>
        <w:tab w:val="right" w:pos="8838"/>
      </w:tabs>
    </w:pPr>
  </w:style>
  <w:style w:type="character" w:customStyle="1" w:styleId="CapaleraCar">
    <w:name w:val="Capçalera Car"/>
    <w:basedOn w:val="Tipusdelletraperdefectedelpargraf"/>
    <w:link w:val="Capalera"/>
    <w:rsid w:val="00B11A75"/>
    <w:rPr>
      <w:rFonts w:ascii="Arial" w:eastAsia="Times New Roman" w:hAnsi="Arial" w:cs="Times New Roman"/>
      <w:sz w:val="24"/>
      <w:szCs w:val="20"/>
      <w:lang w:eastAsia="ca-ES"/>
    </w:rPr>
  </w:style>
  <w:style w:type="character" w:customStyle="1" w:styleId="Ttol3Car">
    <w:name w:val="Títol 3 Car"/>
    <w:basedOn w:val="Tipusdelletraperdefectedelpargraf"/>
    <w:link w:val="Ttol3"/>
    <w:uiPriority w:val="9"/>
    <w:semiHidden/>
    <w:rsid w:val="00B11A75"/>
    <w:rPr>
      <w:rFonts w:asciiTheme="majorHAnsi" w:eastAsiaTheme="majorEastAsia" w:hAnsiTheme="majorHAnsi" w:cstheme="majorBidi"/>
      <w:b/>
      <w:bCs/>
      <w:color w:val="4F81BD" w:themeColor="accent1"/>
      <w:sz w:val="24"/>
      <w:szCs w:val="20"/>
      <w:lang w:eastAsia="ca-ES"/>
    </w:rPr>
  </w:style>
  <w:style w:type="paragraph" w:styleId="Pargrafdellista">
    <w:name w:val="List Paragraph"/>
    <w:basedOn w:val="Normal"/>
    <w:uiPriority w:val="34"/>
    <w:qFormat/>
    <w:rsid w:val="00B11A75"/>
    <w:pPr>
      <w:numPr>
        <w:numId w:val="1"/>
      </w:numPr>
      <w:contextualSpacing/>
    </w:pPr>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A75"/>
    <w:pPr>
      <w:spacing w:after="0" w:line="240" w:lineRule="auto"/>
    </w:pPr>
    <w:rPr>
      <w:rFonts w:ascii="Arial" w:eastAsia="Times New Roman" w:hAnsi="Arial" w:cs="Times New Roman"/>
      <w:sz w:val="24"/>
      <w:szCs w:val="20"/>
      <w:lang w:eastAsia="ca-ES"/>
    </w:rPr>
  </w:style>
  <w:style w:type="paragraph" w:styleId="Ttol3">
    <w:name w:val="heading 3"/>
    <w:basedOn w:val="Normal"/>
    <w:next w:val="Normal"/>
    <w:link w:val="Ttol3Car"/>
    <w:uiPriority w:val="9"/>
    <w:semiHidden/>
    <w:unhideWhenUsed/>
    <w:qFormat/>
    <w:rsid w:val="00B11A75"/>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B11A75"/>
    <w:pPr>
      <w:tabs>
        <w:tab w:val="center" w:pos="4419"/>
        <w:tab w:val="right" w:pos="8838"/>
      </w:tabs>
    </w:pPr>
  </w:style>
  <w:style w:type="character" w:customStyle="1" w:styleId="CapaleraCar">
    <w:name w:val="Capçalera Car"/>
    <w:basedOn w:val="Tipusdelletraperdefectedelpargraf"/>
    <w:link w:val="Capalera"/>
    <w:rsid w:val="00B11A75"/>
    <w:rPr>
      <w:rFonts w:ascii="Arial" w:eastAsia="Times New Roman" w:hAnsi="Arial" w:cs="Times New Roman"/>
      <w:sz w:val="24"/>
      <w:szCs w:val="20"/>
      <w:lang w:eastAsia="ca-ES"/>
    </w:rPr>
  </w:style>
  <w:style w:type="character" w:customStyle="1" w:styleId="Ttol3Car">
    <w:name w:val="Títol 3 Car"/>
    <w:basedOn w:val="Tipusdelletraperdefectedelpargraf"/>
    <w:link w:val="Ttol3"/>
    <w:uiPriority w:val="9"/>
    <w:semiHidden/>
    <w:rsid w:val="00B11A75"/>
    <w:rPr>
      <w:rFonts w:asciiTheme="majorHAnsi" w:eastAsiaTheme="majorEastAsia" w:hAnsiTheme="majorHAnsi" w:cstheme="majorBidi"/>
      <w:b/>
      <w:bCs/>
      <w:color w:val="4F81BD" w:themeColor="accent1"/>
      <w:sz w:val="24"/>
      <w:szCs w:val="20"/>
      <w:lang w:eastAsia="ca-ES"/>
    </w:rPr>
  </w:style>
  <w:style w:type="paragraph" w:styleId="Pargrafdellista">
    <w:name w:val="List Paragraph"/>
    <w:basedOn w:val="Normal"/>
    <w:uiPriority w:val="34"/>
    <w:qFormat/>
    <w:rsid w:val="00B11A75"/>
    <w:pPr>
      <w:numPr>
        <w:numId w:val="1"/>
      </w:numPr>
      <w:contextualSpacing/>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804</Words>
  <Characters>4583</Characters>
  <Application>Microsoft Office Word</Application>
  <DocSecurity>0</DocSecurity>
  <Lines>38</Lines>
  <Paragraphs>10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2021-07-30T09:47:00Z</dcterms:created>
  <dcterms:modified xsi:type="dcterms:W3CDTF">2021-10-28T15:23:00Z</dcterms:modified>
</cp:coreProperties>
</file>